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197B8BC3" w:rsidP="00A96552" w:rsidRDefault="197B8BC3" w14:paraId="7D6F97E1" w14:textId="201D7904">
      <w:pPr>
        <w:jc w:val="cente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197B8BC3">
        <w:rPr>
          <w:rFonts w:ascii="Aptos" w:hAnsi="Aptos" w:eastAsia="Aptos" w:cs="Aptos"/>
          <w:b w:val="1"/>
          <w:bCs w:val="1"/>
          <w:i w:val="0"/>
          <w:iCs w:val="0"/>
          <w:caps w:val="0"/>
          <w:smallCaps w:val="0"/>
          <w:strike w:val="0"/>
          <w:dstrike w:val="0"/>
          <w:noProof w:val="0"/>
          <w:color w:val="000000" w:themeColor="text1" w:themeTint="FF" w:themeShade="FF"/>
          <w:sz w:val="24"/>
          <w:szCs w:val="24"/>
          <w:u w:val="single"/>
          <w:lang w:val="en-US"/>
        </w:rPr>
        <w:t>Addendum #</w:t>
      </w:r>
      <w:r w:rsidRPr="00A96552" w:rsidR="26F03F0D">
        <w:rPr>
          <w:rFonts w:ascii="Aptos" w:hAnsi="Aptos" w:eastAsia="Aptos" w:cs="Aptos"/>
          <w:b w:val="1"/>
          <w:bCs w:val="1"/>
          <w:i w:val="0"/>
          <w:iCs w:val="0"/>
          <w:caps w:val="0"/>
          <w:smallCaps w:val="0"/>
          <w:strike w:val="0"/>
          <w:dstrike w:val="0"/>
          <w:noProof w:val="0"/>
          <w:color w:val="000000" w:themeColor="text1" w:themeTint="FF" w:themeShade="FF"/>
          <w:sz w:val="24"/>
          <w:szCs w:val="24"/>
          <w:u w:val="single"/>
          <w:lang w:val="en-US"/>
        </w:rPr>
        <w:t>2</w:t>
      </w:r>
    </w:p>
    <w:p w:rsidR="197B8BC3" w:rsidP="2673BA1B" w:rsidRDefault="197B8BC3" w14:paraId="0965E8EA" w14:textId="4B910A1A">
      <w:pPr>
        <w:rPr>
          <w:rFonts w:ascii="Aptos" w:hAnsi="Aptos" w:eastAsia="Aptos" w:cs="Aptos"/>
          <w:b w:val="0"/>
          <w:bCs w:val="0"/>
          <w:i w:val="0"/>
          <w:iCs w:val="0"/>
          <w:caps w:val="0"/>
          <w:smallCaps w:val="0"/>
          <w:noProof w:val="0"/>
          <w:color w:val="000000" w:themeColor="text1" w:themeTint="FF" w:themeShade="FF"/>
          <w:sz w:val="24"/>
          <w:szCs w:val="24"/>
          <w:lang w:val="en-US"/>
        </w:rPr>
      </w:pPr>
      <w:r w:rsidRPr="2673BA1B" w:rsidR="197B8BC3">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Issue Date: August 1</w:t>
      </w:r>
      <w:r w:rsidRPr="2673BA1B" w:rsidR="6180DB56">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5</w:t>
      </w:r>
      <w:r w:rsidRPr="2673BA1B" w:rsidR="197B8BC3">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 2025</w:t>
      </w:r>
    </w:p>
    <w:p w:rsidR="197B8BC3" w:rsidP="00A96552" w:rsidRDefault="197B8BC3" w14:paraId="1EEE0B2A" w14:textId="03681639">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197B8BC3">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Solicitation Title: 24COR-018GR Technology Acquisition &amp; Professional IT Services</w:t>
      </w:r>
    </w:p>
    <w:p w:rsidR="197B8BC3" w:rsidP="00A96552" w:rsidRDefault="197B8BC3" w14:paraId="09710E5D" w14:textId="7B666231">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 xml:space="preserve">Notice is hereby given that the Town of Greece, </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NY</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 xml:space="preserve"> and </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CoreTrust</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 xml:space="preserve"> are issuing Addendum #2 as part of the subject Solicitation. The Solicitation, together with this Addendum #2, constitute the entire understanding between each of the participating Bidders, the Town of Greece, </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NY</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 xml:space="preserve"> and </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CoreTrust</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 xml:space="preserve">. </w:t>
      </w:r>
    </w:p>
    <w:p w:rsidR="197B8BC3" w:rsidP="00A96552" w:rsidRDefault="197B8BC3" w14:paraId="2951E8FC" w14:textId="7EDFA711">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Changes to the Solicitation, as set forth herein, shall be incorporated into Bidder proposals where required.</w:t>
      </w:r>
    </w:p>
    <w:p w:rsidR="197B8BC3" w:rsidP="00A96552" w:rsidRDefault="197B8BC3" w14:paraId="3CFDD13A" w14:textId="00ECAEA9">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 xml:space="preserve">The Town of Greece, </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NY</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 xml:space="preserve"> and </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CoreTrust</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 xml:space="preserve"> issues Addendum #2, as </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indicated</w:t>
      </w:r>
      <w:r w:rsidRPr="00A96552" w:rsidR="197B8BC3">
        <w:rPr>
          <w:rFonts w:ascii="Aptos" w:hAnsi="Aptos" w:eastAsia="Aptos" w:cs="Aptos"/>
          <w:b w:val="0"/>
          <w:bCs w:val="0"/>
          <w:i w:val="0"/>
          <w:iCs w:val="0"/>
          <w:caps w:val="0"/>
          <w:smallCaps w:val="0"/>
          <w:noProof w:val="0"/>
          <w:color w:val="000000" w:themeColor="text1" w:themeTint="FF" w:themeShade="FF"/>
          <w:sz w:val="24"/>
          <w:szCs w:val="24"/>
          <w:lang w:val="en-US"/>
        </w:rPr>
        <w:t>, below:</w:t>
      </w:r>
    </w:p>
    <w:p w:rsidR="197B8BC3" w:rsidP="78C82F61" w:rsidRDefault="197B8BC3" w14:paraId="0BB8D6D1" w14:textId="2F8D6441">
      <w:pPr>
        <w:rPr>
          <w:rFonts w:ascii="Aptos" w:hAnsi="Aptos" w:eastAsia="Aptos" w:cs="Aptos"/>
          <w:b w:val="0"/>
          <w:bCs w:val="0"/>
          <w:i w:val="0"/>
          <w:iCs w:val="0"/>
          <w:caps w:val="0"/>
          <w:smallCaps w:val="0"/>
          <w:noProof w:val="0"/>
          <w:color w:val="000000" w:themeColor="text1" w:themeTint="FF" w:themeShade="FF"/>
          <w:sz w:val="24"/>
          <w:szCs w:val="24"/>
          <w:lang w:val="en-US"/>
        </w:rPr>
      </w:pPr>
      <w:r w:rsidR="197B8BC3">
        <w:rPr/>
        <w:t xml:space="preserve">We have released responses to </w:t>
      </w:r>
      <w:r w:rsidR="62F201B4">
        <w:rPr/>
        <w:t>all questions, see below.</w:t>
      </w:r>
    </w:p>
    <w:p w:rsidR="0AB6B29D" w:rsidP="00A96552" w:rsidRDefault="0AB6B29D" w14:paraId="4CDAF508" w14:textId="1C07BCF7">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We have also released the following changes to the Solicitation and its attachments:</w:t>
      </w:r>
    </w:p>
    <w:p w:rsidR="0AB6B29D" w:rsidP="00A96552" w:rsidRDefault="0AB6B29D" w14:paraId="3A36B0D1" w14:textId="213AF2EC">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Solicitation, Appendix B, Section F, 11.4 Requirements- Breadth of OEM Offerings and Critical OEM Partnerships (Revised)</w:t>
      </w:r>
    </w:p>
    <w:p w:rsidR="0AB6B29D" w:rsidP="00A96552" w:rsidRDefault="0AB6B29D" w14:paraId="175003C7" w14:textId="51A02957">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Solicitation, Appendix B, Section F, 11.5 General Terms, Conditions and Considerations of the Solicitation and Resulting Contract, Contract Price List Updates (Addition)</w:t>
      </w:r>
    </w:p>
    <w:p w:rsidR="0AB6B29D" w:rsidP="00A96552" w:rsidRDefault="0AB6B29D" w14:paraId="61EAD4EE" w14:textId="33CA68A1">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Solicitation, Appendix B, Section F, Replacement Contractor (Revised)</w:t>
      </w:r>
    </w:p>
    <w:p w:rsidR="0AB6B29D" w:rsidP="00A96552" w:rsidRDefault="0AB6B29D" w14:paraId="28D7BFCA" w14:textId="0B9E99D7">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Solicitation, Appendix B, Section G, 4. B. Verifiable Sales (Revised)</w:t>
      </w:r>
    </w:p>
    <w:p w:rsidR="0AB6B29D" w:rsidP="00A96552" w:rsidRDefault="0AB6B29D" w14:paraId="0317345D" w14:textId="2B71EA08">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Solicitation, Appendix B, Section G, Bidder Company Summary (Revised)</w:t>
      </w:r>
    </w:p>
    <w:p w:rsidR="0AB6B29D" w:rsidP="00A96552" w:rsidRDefault="0AB6B29D" w14:paraId="44C7446B" w14:textId="650B2CD7">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Solicitation, Appendix B,</w:t>
      </w:r>
      <w:r w:rsidRPr="00A96552" w:rsidR="0AB6B29D">
        <w:rPr>
          <w:rFonts w:ascii="Arial" w:hAnsi="Arial" w:eastAsia="Arial" w:cs="Arial"/>
          <w:b w:val="0"/>
          <w:bCs w:val="0"/>
          <w:i w:val="0"/>
          <w:iCs w:val="0"/>
          <w:caps w:val="0"/>
          <w:smallCaps w:val="0"/>
          <w:noProof w:val="0"/>
          <w:color w:val="000000" w:themeColor="text1" w:themeTint="FF" w:themeShade="FF"/>
          <w:sz w:val="22"/>
          <w:szCs w:val="22"/>
          <w:lang w:val="en-US"/>
        </w:rPr>
        <w:t xml:space="preserve"> Section G, Technical Review, Technology Products and Service Offerings, a. (Revised)</w:t>
      </w:r>
    </w:p>
    <w:p w:rsidR="0AB6B29D" w:rsidP="00A96552" w:rsidRDefault="0AB6B29D" w14:paraId="116CDAC5" w14:textId="55F746B2">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Solicitation, Appendix B,</w:t>
      </w:r>
      <w:r w:rsidRPr="00A96552" w:rsidR="0AB6B29D">
        <w:rPr>
          <w:rFonts w:ascii="Arial" w:hAnsi="Arial" w:eastAsia="Arial" w:cs="Arial"/>
          <w:b w:val="0"/>
          <w:bCs w:val="0"/>
          <w:i w:val="0"/>
          <w:iCs w:val="0"/>
          <w:caps w:val="0"/>
          <w:smallCaps w:val="0"/>
          <w:noProof w:val="0"/>
          <w:color w:val="000000" w:themeColor="text1" w:themeTint="FF" w:themeShade="FF"/>
          <w:sz w:val="22"/>
          <w:szCs w:val="22"/>
          <w:lang w:val="en-US"/>
        </w:rPr>
        <w:t xml:space="preserve"> Section G, Technical Review, Technology Products and Service Offerings, h. (Revised)</w:t>
      </w:r>
    </w:p>
    <w:p w:rsidR="0AB6B29D" w:rsidP="00A96552" w:rsidRDefault="0AB6B29D" w14:paraId="30462661" w14:textId="63A89BC1">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Solicitation, Appendix B,</w:t>
      </w:r>
      <w:r w:rsidRPr="00A96552" w:rsidR="0AB6B29D">
        <w:rPr>
          <w:rFonts w:ascii="Arial" w:hAnsi="Arial" w:eastAsia="Arial" w:cs="Arial"/>
          <w:b w:val="0"/>
          <w:bCs w:val="0"/>
          <w:i w:val="0"/>
          <w:iCs w:val="0"/>
          <w:caps w:val="0"/>
          <w:smallCaps w:val="0"/>
          <w:noProof w:val="0"/>
          <w:color w:val="000000" w:themeColor="text1" w:themeTint="FF" w:themeShade="FF"/>
          <w:sz w:val="22"/>
          <w:szCs w:val="22"/>
          <w:lang w:val="en-US"/>
        </w:rPr>
        <w:t xml:space="preserve"> Section G, Technical Review, Electronic Commerce, Ordering Tools &amp; Methods, and Invoicing, a (Revised)</w:t>
      </w:r>
    </w:p>
    <w:p w:rsidR="0AB6B29D" w:rsidP="00A96552" w:rsidRDefault="0AB6B29D" w14:paraId="19D3E03C" w14:textId="14735505">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2673BA1B" w:rsidR="0AB6B29D">
        <w:rPr>
          <w:rFonts w:ascii="Aptos" w:hAnsi="Aptos" w:eastAsia="Aptos" w:cs="Aptos"/>
          <w:b w:val="0"/>
          <w:bCs w:val="0"/>
          <w:i w:val="0"/>
          <w:iCs w:val="0"/>
          <w:caps w:val="0"/>
          <w:smallCaps w:val="0"/>
          <w:noProof w:val="0"/>
          <w:color w:val="000000" w:themeColor="text1" w:themeTint="FF" w:themeShade="FF"/>
          <w:sz w:val="24"/>
          <w:szCs w:val="24"/>
          <w:lang w:val="en-US"/>
        </w:rPr>
        <w:t>Solicitation, Appendix B, Section G, 4. B. Cost Proposal (Revised)</w:t>
      </w:r>
    </w:p>
    <w:p w:rsidR="1EB97942" w:rsidP="2673BA1B" w:rsidRDefault="1EB97942" w14:paraId="65553587" w14:textId="480FB390">
      <w:pPr>
        <w:pStyle w:val="ListParagraph"/>
        <w:numPr>
          <w:ilvl w:val="0"/>
          <w:numId w:val="2"/>
        </w:numPr>
        <w:rPr>
          <w:noProof w:val="0"/>
          <w:lang w:val="en-US"/>
        </w:rPr>
      </w:pPr>
      <w:r w:rsidRPr="2673BA1B" w:rsidR="1EB97942">
        <w:rPr>
          <w:rFonts w:ascii="Aptos" w:hAnsi="Aptos" w:eastAsia="Aptos" w:cs="Aptos"/>
          <w:b w:val="0"/>
          <w:bCs w:val="0"/>
          <w:i w:val="0"/>
          <w:iCs w:val="0"/>
          <w:caps w:val="0"/>
          <w:smallCaps w:val="0"/>
          <w:noProof w:val="0"/>
          <w:color w:val="000000" w:themeColor="text1" w:themeTint="FF" w:themeShade="FF"/>
          <w:sz w:val="24"/>
          <w:szCs w:val="24"/>
          <w:lang w:val="en-US"/>
        </w:rPr>
        <w:t>Solicitation, Attachment A – Terms and Conditions, 7. Definitions, a) Administrative Fee (Revised)</w:t>
      </w:r>
    </w:p>
    <w:p w:rsidR="0AB6B29D" w:rsidP="00A96552" w:rsidRDefault="0AB6B29D" w14:paraId="2316AB1D" w14:textId="766D8CF5">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24COR-018GR Pricing Pages ver3 (Excel)</w:t>
      </w:r>
    </w:p>
    <w:p w:rsidR="0AB6B29D" w:rsidP="00A96552" w:rsidRDefault="0AB6B29D" w14:paraId="74F18A6A" w14:textId="5004C4B3">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24COR-018GR Verifiable Sales ver3 (Excel)</w:t>
      </w:r>
    </w:p>
    <w:p w:rsidR="0AB6B29D" w:rsidP="00A96552" w:rsidRDefault="0AB6B29D" w14:paraId="53FE9729" w14:textId="38E10935">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24COR-018GR Technical Worksheet ver2 (Word)</w:t>
      </w:r>
    </w:p>
    <w:p w:rsidR="0AB6B29D" w:rsidP="00A96552" w:rsidRDefault="0AB6B29D" w14:paraId="52C61407" w14:textId="4E1EFAC2">
      <w:pPr>
        <w:pStyle w:val="ListParagraph"/>
        <w:numPr>
          <w:ilvl w:val="0"/>
          <w:numId w:val="2"/>
        </w:num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0AB6B29D">
        <w:rPr>
          <w:rFonts w:ascii="Aptos" w:hAnsi="Aptos" w:eastAsia="Aptos" w:cs="Aptos"/>
          <w:b w:val="0"/>
          <w:bCs w:val="0"/>
          <w:i w:val="0"/>
          <w:iCs w:val="0"/>
          <w:caps w:val="0"/>
          <w:smallCaps w:val="0"/>
          <w:noProof w:val="0"/>
          <w:color w:val="000000" w:themeColor="text1" w:themeTint="FF" w:themeShade="FF"/>
          <w:sz w:val="24"/>
          <w:szCs w:val="24"/>
          <w:lang w:val="en-US"/>
        </w:rPr>
        <w:t>24COR-018GR Verifiable Sales Attestation Form (Addition)</w:t>
      </w:r>
    </w:p>
    <w:p w:rsidR="00A96552" w:rsidP="00A96552" w:rsidRDefault="00A96552" w14:paraId="2309EB0D" w14:textId="64B59D76">
      <w:pPr>
        <w:pStyle w:val="Normal"/>
        <w:ind w:left="0"/>
        <w:rPr>
          <w:rFonts w:ascii="Aptos" w:hAnsi="Aptos" w:eastAsia="Aptos" w:cs="Aptos"/>
          <w:b w:val="0"/>
          <w:bCs w:val="0"/>
          <w:i w:val="0"/>
          <w:iCs w:val="0"/>
          <w:caps w:val="0"/>
          <w:smallCaps w:val="0"/>
          <w:noProof w:val="0"/>
          <w:color w:val="000000" w:themeColor="text1" w:themeTint="FF" w:themeShade="FF"/>
          <w:sz w:val="24"/>
          <w:szCs w:val="24"/>
          <w:lang w:val="en-US"/>
        </w:rPr>
      </w:pPr>
    </w:p>
    <w:p w:rsidR="5E57045A" w:rsidP="00A96552" w:rsidRDefault="5E57045A" w14:paraId="268887B5" w14:textId="71048576">
      <w:pPr>
        <w:rPr>
          <w:rFonts w:ascii="Aptos" w:hAnsi="Aptos" w:eastAsia="Aptos" w:cs="Aptos"/>
          <w:noProof w:val="0"/>
          <w:sz w:val="24"/>
          <w:szCs w:val="24"/>
          <w:lang w:val="en-US"/>
        </w:rPr>
      </w:pPr>
      <w:r w:rsidRPr="00A96552" w:rsidR="5E57045A">
        <w:rPr>
          <w:rFonts w:ascii="Aptos" w:hAnsi="Aptos" w:eastAsia="Aptos" w:cs="Aptos"/>
          <w:b w:val="1"/>
          <w:bCs w:val="1"/>
          <w:i w:val="0"/>
          <w:iCs w:val="0"/>
          <w:caps w:val="0"/>
          <w:smallCaps w:val="0"/>
          <w:noProof w:val="0"/>
          <w:color w:val="000000" w:themeColor="text1" w:themeTint="FF" w:themeShade="FF"/>
          <w:sz w:val="24"/>
          <w:szCs w:val="24"/>
          <w:lang w:val="en-US"/>
        </w:rPr>
        <w:t>Please sign and complete this page and enclose it with your Bid Documents:</w:t>
      </w:r>
    </w:p>
    <w:p w:rsidR="00A96552" w:rsidP="00A96552" w:rsidRDefault="00A96552" w14:paraId="61A8256E" w14:textId="41EBF29B">
      <w:pPr>
        <w:pStyle w:val="Normal"/>
        <w:ind w:left="0"/>
        <w:rPr>
          <w:rFonts w:ascii="Aptos" w:hAnsi="Aptos" w:eastAsia="Aptos" w:cs="Aptos"/>
          <w:b w:val="0"/>
          <w:bCs w:val="0"/>
          <w:i w:val="0"/>
          <w:iCs w:val="0"/>
          <w:caps w:val="0"/>
          <w:smallCaps w:val="0"/>
          <w:noProof w:val="0"/>
          <w:color w:val="000000" w:themeColor="text1" w:themeTint="FF" w:themeShade="FF"/>
          <w:sz w:val="24"/>
          <w:szCs w:val="24"/>
          <w:lang w:val="en-US"/>
        </w:rPr>
      </w:pPr>
    </w:p>
    <w:p w:rsidR="5E57045A" w:rsidP="00A96552" w:rsidRDefault="5E57045A" w14:paraId="2C07A8CB" w14:textId="389C9C27">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5E57045A">
        <w:rPr>
          <w:rFonts w:ascii="Aptos" w:hAnsi="Aptos" w:eastAsia="Aptos" w:cs="Aptos"/>
          <w:b w:val="1"/>
          <w:bCs w:val="1"/>
          <w:i w:val="0"/>
          <w:iCs w:val="0"/>
          <w:caps w:val="0"/>
          <w:smallCaps w:val="0"/>
          <w:noProof w:val="0"/>
          <w:color w:val="000000" w:themeColor="text1" w:themeTint="FF" w:themeShade="FF"/>
          <w:sz w:val="24"/>
          <w:szCs w:val="24"/>
          <w:lang w:val="en-US"/>
        </w:rPr>
        <w:t>…………………………………………………………………………………………………………………..</w:t>
      </w:r>
    </w:p>
    <w:p w:rsidR="00A96552" w:rsidP="00A96552" w:rsidRDefault="00A96552" w14:paraId="360D47D4" w14:textId="6636B741">
      <w:pPr>
        <w:rPr>
          <w:rFonts w:ascii="Aptos" w:hAnsi="Aptos" w:eastAsia="Aptos" w:cs="Aptos"/>
          <w:b w:val="0"/>
          <w:bCs w:val="0"/>
          <w:i w:val="0"/>
          <w:iCs w:val="0"/>
          <w:caps w:val="0"/>
          <w:smallCaps w:val="0"/>
          <w:noProof w:val="0"/>
          <w:color w:val="000000" w:themeColor="text1" w:themeTint="FF" w:themeShade="FF"/>
          <w:sz w:val="24"/>
          <w:szCs w:val="24"/>
          <w:lang w:val="en-US"/>
        </w:rPr>
      </w:pPr>
    </w:p>
    <w:p w:rsidR="5E57045A" w:rsidP="00A96552" w:rsidRDefault="5E57045A" w14:paraId="482E15F6" w14:textId="271F697F">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 xml:space="preserve">I, ___________________________________, have read the information </w:t>
      </w: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submitted</w:t>
      </w: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 xml:space="preserve"> as Addendum #2 to Solicitation Title: 24COR-018GR Technology Acquisition &amp; Professional IT Services and I am fully aware of all </w:t>
      </w: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additional</w:t>
      </w: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 xml:space="preserve"> circumstances.</w:t>
      </w:r>
    </w:p>
    <w:p w:rsidR="00A96552" w:rsidP="00A96552" w:rsidRDefault="00A96552" w14:paraId="10EA33F6" w14:textId="0A405228">
      <w:pPr>
        <w:rPr>
          <w:rFonts w:ascii="Aptos" w:hAnsi="Aptos" w:eastAsia="Aptos" w:cs="Aptos"/>
          <w:b w:val="0"/>
          <w:bCs w:val="0"/>
          <w:i w:val="0"/>
          <w:iCs w:val="0"/>
          <w:caps w:val="0"/>
          <w:smallCaps w:val="0"/>
          <w:noProof w:val="0"/>
          <w:color w:val="000000" w:themeColor="text1" w:themeTint="FF" w:themeShade="FF"/>
          <w:sz w:val="24"/>
          <w:szCs w:val="24"/>
          <w:lang w:val="en-US"/>
        </w:rPr>
      </w:pPr>
    </w:p>
    <w:p w:rsidR="5E57045A" w:rsidP="00A96552" w:rsidRDefault="5E57045A" w14:paraId="0D19D851" w14:textId="7AC8698D">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 xml:space="preserve">______________________________________ </w:t>
      </w:r>
      <w:r>
        <w:tab/>
      </w:r>
      <w:r>
        <w:tab/>
      </w: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____________________________</w:t>
      </w:r>
    </w:p>
    <w:p w:rsidR="5E57045A" w:rsidP="00A96552" w:rsidRDefault="5E57045A" w14:paraId="493567CB" w14:textId="12F757FC">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Representative Signature</w:t>
      </w:r>
      <w:r>
        <w:tab/>
      </w:r>
      <w:r>
        <w:tab/>
      </w:r>
      <w:r>
        <w:tab/>
      </w:r>
      <w:r>
        <w:tab/>
      </w: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Date</w:t>
      </w:r>
    </w:p>
    <w:p w:rsidR="00A96552" w:rsidP="00A96552" w:rsidRDefault="00A96552" w14:paraId="1F38952D" w14:textId="5C90607A">
      <w:pPr>
        <w:rPr>
          <w:rFonts w:ascii="Aptos" w:hAnsi="Aptos" w:eastAsia="Aptos" w:cs="Aptos"/>
          <w:b w:val="0"/>
          <w:bCs w:val="0"/>
          <w:i w:val="0"/>
          <w:iCs w:val="0"/>
          <w:caps w:val="0"/>
          <w:smallCaps w:val="0"/>
          <w:noProof w:val="0"/>
          <w:color w:val="000000" w:themeColor="text1" w:themeTint="FF" w:themeShade="FF"/>
          <w:sz w:val="24"/>
          <w:szCs w:val="24"/>
          <w:lang w:val="en-US"/>
        </w:rPr>
      </w:pPr>
    </w:p>
    <w:p w:rsidR="5E57045A" w:rsidP="00A96552" w:rsidRDefault="5E57045A" w14:paraId="3E913420" w14:textId="4649910A">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______________________________________</w:t>
      </w:r>
    </w:p>
    <w:p w:rsidR="5E57045A" w:rsidP="00A96552" w:rsidRDefault="5E57045A" w14:paraId="3E0B76EB" w14:textId="437109A5">
      <w:pPr>
        <w:rPr>
          <w:rFonts w:ascii="Aptos" w:hAnsi="Aptos" w:eastAsia="Aptos" w:cs="Aptos"/>
          <w:b w:val="0"/>
          <w:bCs w:val="0"/>
          <w:i w:val="0"/>
          <w:iCs w:val="0"/>
          <w:caps w:val="0"/>
          <w:smallCaps w:val="0"/>
          <w:noProof w:val="0"/>
          <w:color w:val="000000" w:themeColor="text1" w:themeTint="FF" w:themeShade="FF"/>
          <w:sz w:val="24"/>
          <w:szCs w:val="24"/>
          <w:lang w:val="en-US"/>
        </w:rPr>
      </w:pPr>
      <w:r w:rsidRPr="00A96552" w:rsidR="5E57045A">
        <w:rPr>
          <w:rFonts w:ascii="Aptos" w:hAnsi="Aptos" w:eastAsia="Aptos" w:cs="Aptos"/>
          <w:b w:val="0"/>
          <w:bCs w:val="0"/>
          <w:i w:val="0"/>
          <w:iCs w:val="0"/>
          <w:caps w:val="0"/>
          <w:smallCaps w:val="0"/>
          <w:noProof w:val="0"/>
          <w:color w:val="000000" w:themeColor="text1" w:themeTint="FF" w:themeShade="FF"/>
          <w:sz w:val="24"/>
          <w:szCs w:val="24"/>
          <w:lang w:val="en-US"/>
        </w:rPr>
        <w:t>Company Name</w:t>
      </w:r>
    </w:p>
    <w:p w:rsidR="00A96552" w:rsidP="00A96552" w:rsidRDefault="00A96552" w14:paraId="6DA76092" w14:textId="53A253EE">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00A96552" w:rsidRDefault="00A96552" w14:paraId="4B4CA009" w14:textId="169C0D4C">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00A96552" w:rsidRDefault="00A96552" w14:paraId="54BDFEA7" w14:textId="673E80A7">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00A96552" w:rsidRDefault="00A96552" w14:paraId="0ADB473F" w14:textId="02D8CBAD">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00A96552" w:rsidRDefault="00A96552" w14:paraId="66D3D78D" w14:textId="73E60ADE">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00A96552" w:rsidRDefault="00A96552" w14:paraId="351E164A" w14:textId="1E1A7C84">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00A96552" w:rsidRDefault="00A96552" w14:paraId="68FFD77F" w14:textId="6324C332">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00A96552" w:rsidRDefault="00A96552" w14:paraId="5C967ED1" w14:textId="7EBDAAAF">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00A96552" w:rsidRDefault="00A96552" w14:paraId="3A2C0446" w14:textId="10B6008F">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78C82F61" w:rsidRDefault="00A96552" w14:paraId="08103BD8" w14:textId="413FB411">
      <w:pPr>
        <w:rPr>
          <w:rFonts w:ascii="Aptos" w:hAnsi="Aptos" w:eastAsia="Aptos" w:cs="Aptos"/>
          <w:b w:val="0"/>
          <w:bCs w:val="0"/>
          <w:i w:val="0"/>
          <w:iCs w:val="0"/>
          <w:caps w:val="0"/>
          <w:smallCaps w:val="0"/>
          <w:noProof w:val="0"/>
          <w:color w:val="000000" w:themeColor="text1" w:themeTint="FF" w:themeShade="FF"/>
          <w:sz w:val="24"/>
          <w:szCs w:val="24"/>
          <w:lang w:val="en-US"/>
        </w:rPr>
      </w:pPr>
    </w:p>
    <w:p w:rsidR="78C82F61" w:rsidP="78C82F61" w:rsidRDefault="78C82F61" w14:paraId="0D50D26B" w14:textId="022FBA05">
      <w:pPr>
        <w:rPr>
          <w:rFonts w:ascii="Aptos" w:hAnsi="Aptos" w:eastAsia="Aptos" w:cs="Aptos"/>
          <w:b w:val="0"/>
          <w:bCs w:val="0"/>
          <w:i w:val="0"/>
          <w:iCs w:val="0"/>
          <w:caps w:val="0"/>
          <w:smallCaps w:val="0"/>
          <w:noProof w:val="0"/>
          <w:color w:val="000000" w:themeColor="text1" w:themeTint="FF" w:themeShade="FF"/>
          <w:sz w:val="24"/>
          <w:szCs w:val="24"/>
          <w:lang w:val="en-US"/>
        </w:rPr>
      </w:pPr>
    </w:p>
    <w:p w:rsidR="00A96552" w:rsidP="2673BA1B" w:rsidRDefault="00A96552" w14:paraId="018C990B" w14:textId="02E0D3F5">
      <w:pPr>
        <w:pStyle w:val="Normal"/>
        <w:rPr>
          <w:rFonts w:ascii="Aptos" w:hAnsi="Aptos" w:eastAsia="Aptos" w:cs="Aptos"/>
          <w:b w:val="0"/>
          <w:bCs w:val="0"/>
          <w:i w:val="0"/>
          <w:iCs w:val="0"/>
          <w:caps w:val="0"/>
          <w:smallCaps w:val="0"/>
          <w:noProof w:val="0"/>
          <w:color w:val="000000" w:themeColor="text1" w:themeTint="FF" w:themeShade="FF"/>
          <w:sz w:val="24"/>
          <w:szCs w:val="24"/>
          <w:lang w:val="en-US"/>
        </w:rPr>
      </w:pPr>
    </w:p>
    <w:p w:rsidR="00A335C2" w:rsidP="00A96552" w:rsidRDefault="00A335C2" w14:paraId="096745C9" w14:textId="10BEDA24">
      <w:pPr>
        <w:rPr>
          <w:b w:val="1"/>
          <w:bCs w:val="1"/>
          <w:u w:val="single"/>
        </w:rPr>
      </w:pPr>
      <w:r w:rsidRPr="00A96552" w:rsidR="00A335C2">
        <w:rPr>
          <w:b w:val="1"/>
          <w:bCs w:val="1"/>
          <w:u w:val="single"/>
        </w:rPr>
        <w:t>Questions and Answers</w:t>
      </w:r>
      <w:r w:rsidRPr="00A96552" w:rsidR="3A734A5A">
        <w:rPr>
          <w:b w:val="1"/>
          <w:bCs w:val="1"/>
          <w:u w:val="single"/>
        </w:rPr>
        <w:t xml:space="preserve"> </w:t>
      </w:r>
    </w:p>
    <w:tbl>
      <w:tblPr>
        <w:tblStyle w:val="TableGrid"/>
        <w:tblW w:w="9472" w:type="dxa"/>
        <w:tblLook w:val="04A0" w:firstRow="1" w:lastRow="0" w:firstColumn="1" w:lastColumn="0" w:noHBand="0" w:noVBand="1"/>
      </w:tblPr>
      <w:tblGrid>
        <w:gridCol w:w="1110"/>
        <w:gridCol w:w="3090"/>
        <w:gridCol w:w="5272"/>
      </w:tblGrid>
      <w:tr w:rsidR="00A335C2" w:rsidTr="2673BA1B" w14:paraId="3EF0975E" w14:textId="77777777">
        <w:tc>
          <w:tcPr>
            <w:tcW w:w="1110" w:type="dxa"/>
            <w:tcMar/>
          </w:tcPr>
          <w:p w:rsidR="00A335C2" w:rsidP="123A1D7B" w:rsidRDefault="00A335C2" w14:paraId="59ECDE66" w14:textId="77777777">
            <w:pPr>
              <w:rPr>
                <w:b w:val="1"/>
                <w:bCs w:val="1"/>
              </w:rPr>
            </w:pPr>
            <w:r w:rsidRPr="123A1D7B" w:rsidR="00A335C2">
              <w:rPr>
                <w:b w:val="1"/>
                <w:bCs w:val="1"/>
              </w:rPr>
              <w:t>Item #</w:t>
            </w:r>
          </w:p>
        </w:tc>
        <w:tc>
          <w:tcPr>
            <w:tcW w:w="3090" w:type="dxa"/>
            <w:tcMar/>
          </w:tcPr>
          <w:p w:rsidR="00A335C2" w:rsidP="123A1D7B" w:rsidRDefault="00A335C2" w14:paraId="6F1CD99A" w14:textId="77777777">
            <w:pPr>
              <w:rPr>
                <w:b w:val="1"/>
                <w:bCs w:val="1"/>
              </w:rPr>
            </w:pPr>
            <w:r w:rsidRPr="123A1D7B" w:rsidR="00A335C2">
              <w:rPr>
                <w:b w:val="1"/>
                <w:bCs w:val="1"/>
              </w:rPr>
              <w:t>Question</w:t>
            </w:r>
          </w:p>
        </w:tc>
        <w:tc>
          <w:tcPr>
            <w:tcW w:w="5272" w:type="dxa"/>
            <w:tcMar/>
          </w:tcPr>
          <w:p w:rsidR="00A335C2" w:rsidP="123A1D7B" w:rsidRDefault="00A335C2" w14:paraId="40D4CE06" w14:textId="77777777">
            <w:pPr>
              <w:rPr>
                <w:b w:val="1"/>
                <w:bCs w:val="1"/>
              </w:rPr>
            </w:pPr>
            <w:r w:rsidRPr="123A1D7B" w:rsidR="00A335C2">
              <w:rPr>
                <w:b w:val="1"/>
                <w:bCs w:val="1"/>
              </w:rPr>
              <w:t>Answer</w:t>
            </w:r>
          </w:p>
        </w:tc>
      </w:tr>
      <w:tr w:rsidR="00A335C2" w:rsidTr="2673BA1B" w14:paraId="0189F06D" w14:textId="77777777">
        <w:tc>
          <w:tcPr>
            <w:tcW w:w="1110" w:type="dxa"/>
            <w:tcMar/>
          </w:tcPr>
          <w:p w:rsidR="00A335C2" w:rsidP="009B6A16" w:rsidRDefault="00A335C2" w14:paraId="2EEBCD29" w14:textId="77777777">
            <w:r>
              <w:t>1</w:t>
            </w:r>
          </w:p>
        </w:tc>
        <w:tc>
          <w:tcPr>
            <w:tcW w:w="3090" w:type="dxa"/>
            <w:tcMar/>
          </w:tcPr>
          <w:p w:rsidR="00A335C2" w:rsidP="009B6A16" w:rsidRDefault="00A335C2" w14:paraId="272A79D5" w14:textId="634A7E9D">
            <w:r>
              <w:t>How many members do you have? And how many awards are you looking to extend?</w:t>
            </w:r>
          </w:p>
        </w:tc>
        <w:tc>
          <w:tcPr>
            <w:tcW w:w="5272" w:type="dxa"/>
            <w:tcMar/>
          </w:tcPr>
          <w:p w:rsidR="00A335C2" w:rsidP="009B6A16" w:rsidRDefault="00CF53C0" w14:paraId="79696E64" w14:textId="77777777">
            <w:r>
              <w:t>The resulting cooperative contract from this competitive, collaborative solicitation process seeks to award a single supplier. This will allow for rapid government acquisition of desired products and services; reduce barriers and cost between the awarded supplier and Participating Entities; and deliver competitive pricing.</w:t>
            </w:r>
          </w:p>
          <w:p w:rsidR="00CF53C0" w:rsidP="009B6A16" w:rsidRDefault="00CF53C0" w14:paraId="5601F08D" w14:textId="77777777"/>
          <w:p w:rsidR="006D265E" w:rsidP="009B6A16" w:rsidRDefault="00CF53C0" w14:paraId="2390B55A" w14:textId="5B90375C">
            <w:r>
              <w:t xml:space="preserve">Participating Entities will be able to </w:t>
            </w:r>
            <w:r w:rsidR="007E345F">
              <w:t xml:space="preserve">use the resulting contract </w:t>
            </w:r>
            <w:r w:rsidR="00C548D0">
              <w:t>after the single supplier is selected and awarded.</w:t>
            </w:r>
          </w:p>
        </w:tc>
      </w:tr>
      <w:tr w:rsidR="00A335C2" w:rsidTr="2673BA1B" w14:paraId="7CEBBA0A" w14:textId="77777777">
        <w:tc>
          <w:tcPr>
            <w:tcW w:w="1110" w:type="dxa"/>
            <w:tcMar/>
          </w:tcPr>
          <w:p w:rsidR="00A335C2" w:rsidP="009B6A16" w:rsidRDefault="00A335C2" w14:paraId="23D937F4" w14:textId="77777777">
            <w:r>
              <w:t>2</w:t>
            </w:r>
          </w:p>
        </w:tc>
        <w:tc>
          <w:tcPr>
            <w:tcW w:w="3090" w:type="dxa"/>
            <w:tcMar/>
          </w:tcPr>
          <w:p w:rsidR="00A335C2" w:rsidP="009B6A16" w:rsidRDefault="00A335C2" w14:paraId="5F444183" w14:textId="5D1ACF31">
            <w:r>
              <w:t>How many agencies are in membership? Or expected to be in membership?</w:t>
            </w:r>
          </w:p>
        </w:tc>
        <w:tc>
          <w:tcPr>
            <w:tcW w:w="5272" w:type="dxa"/>
            <w:tcMar/>
          </w:tcPr>
          <w:p w:rsidR="00A335C2" w:rsidP="009B6A16" w:rsidRDefault="001F3313" w14:paraId="58923AEF" w14:textId="57C2DCC9">
            <w:r>
              <w:t>This is a brand new solicitation. The Town of Greece, NY is the Lead Agency</w:t>
            </w:r>
            <w:r w:rsidR="00BE03F5">
              <w:t>; after award is established Participating Entities will be able to use the resulting contract.</w:t>
            </w:r>
          </w:p>
        </w:tc>
      </w:tr>
      <w:tr w:rsidR="00A335C2" w:rsidTr="2673BA1B" w14:paraId="563D9368" w14:textId="77777777">
        <w:tc>
          <w:tcPr>
            <w:tcW w:w="1110" w:type="dxa"/>
            <w:tcMar/>
          </w:tcPr>
          <w:p w:rsidR="00A335C2" w:rsidP="009B6A16" w:rsidRDefault="00A335C2" w14:paraId="7A4CFBF4" w14:textId="77777777">
            <w:r>
              <w:t>3</w:t>
            </w:r>
          </w:p>
        </w:tc>
        <w:tc>
          <w:tcPr>
            <w:tcW w:w="3090" w:type="dxa"/>
            <w:tcMar/>
          </w:tcPr>
          <w:p w:rsidR="00A335C2" w:rsidP="009B6A16" w:rsidRDefault="00A335C2" w14:paraId="766AB640" w14:textId="4036810B">
            <w:r>
              <w:t>Has products and specs already been scoped out?</w:t>
            </w:r>
          </w:p>
        </w:tc>
        <w:tc>
          <w:tcPr>
            <w:tcW w:w="5272" w:type="dxa"/>
            <w:tcMar/>
          </w:tcPr>
          <w:p w:rsidR="00681FCA" w:rsidP="00681FCA" w:rsidRDefault="00681FCA" w14:paraId="707A3842" w14:textId="0C6BA125">
            <w:r>
              <w:t xml:space="preserve">The scope of this solicitation is for various IT hardware; software; cloud solutions; compatible IT ancillary products; servers; and professional IT services. This will include, but is not limited to, IT hardware (e.g. laptops, tablets, desktop PCs, etc); related compatible IT ancillary products (e.g. peripherals, components, upgrades, accessories, etc.); servers and related products; software licenses; cloud solutions; and professional IT services (e.g. warranties, imaging, asset tagging, implementation services, device monitoring, consultation, etc.)  </w:t>
            </w:r>
          </w:p>
          <w:p w:rsidR="00681FCA" w:rsidP="00681FCA" w:rsidRDefault="00681FCA" w14:paraId="1BCD23C1" w14:textId="77777777"/>
          <w:p w:rsidR="00681FCA" w:rsidP="00681FCA" w:rsidRDefault="00681FCA" w14:paraId="27E16C9F" w14:textId="77777777">
            <w:r>
              <w:t xml:space="preserve">The resulting Contract from this solicitation is intended to allow Participating Entities to: </w:t>
            </w:r>
          </w:p>
          <w:p w:rsidR="00681FCA" w:rsidP="00681FCA" w:rsidRDefault="00681FCA" w14:paraId="0E10CA82" w14:textId="77777777"/>
          <w:p w:rsidR="00681FCA" w:rsidP="00681FCA" w:rsidRDefault="00681FCA" w14:paraId="65530029" w14:textId="6F4E1D87">
            <w:pPr>
              <w:pStyle w:val="ListParagraph"/>
              <w:numPr>
                <w:ilvl w:val="0"/>
                <w:numId w:val="1"/>
              </w:numPr>
            </w:pPr>
            <w:r>
              <w:t xml:space="preserve">Get exactly what they want and source it through the resulting Contract vendor; </w:t>
            </w:r>
          </w:p>
          <w:p w:rsidR="00681FCA" w:rsidP="2412CEFE" w:rsidRDefault="00681FCA" w14:paraId="1BA2D94B" w14:textId="34CFADC6">
            <w:pPr>
              <w:pStyle w:val="ListParagraph"/>
              <w:numPr>
                <w:ilvl w:val="0"/>
                <w:numId w:val="1"/>
              </w:numPr>
              <w:rPr/>
            </w:pPr>
            <w:r w:rsidR="00681FCA">
              <w:rPr/>
              <w:t xml:space="preserve">Know </w:t>
            </w:r>
            <w:r w:rsidR="00681FCA">
              <w:rPr/>
              <w:t>generally what</w:t>
            </w:r>
            <w:r w:rsidR="00681FCA">
              <w:rPr/>
              <w:t xml:space="preserve"> they need but receive support from the resulting Contract vendor in selecting the right products and services to meet their procurement needs; </w:t>
            </w:r>
          </w:p>
          <w:p w:rsidR="00681FCA" w:rsidP="00681FCA" w:rsidRDefault="00681FCA" w14:paraId="57A5782F" w14:textId="7B7A0C7D">
            <w:pPr>
              <w:pStyle w:val="ListParagraph"/>
              <w:numPr>
                <w:ilvl w:val="0"/>
                <w:numId w:val="1"/>
              </w:numPr>
            </w:pPr>
            <w:r>
              <w:lastRenderedPageBreak/>
              <w:t xml:space="preserve">Receive consulting support from the resulting Contract vendor for identified IT problem solving needs; </w:t>
            </w:r>
          </w:p>
          <w:p w:rsidR="00681FCA" w:rsidP="00681FCA" w:rsidRDefault="00681FCA" w14:paraId="69B9182D" w14:textId="63C03013">
            <w:pPr>
              <w:pStyle w:val="ListParagraph"/>
              <w:numPr>
                <w:ilvl w:val="0"/>
                <w:numId w:val="1"/>
              </w:numPr>
            </w:pPr>
            <w:r>
              <w:t xml:space="preserve">Obtain OEM-specific products and services in the resulting Contract vendor’s catalog, subject to Contract discounts; and </w:t>
            </w:r>
          </w:p>
          <w:p w:rsidR="00681FCA" w:rsidP="00681FCA" w:rsidRDefault="00681FCA" w14:paraId="7CE15B93" w14:textId="77777777">
            <w:pPr>
              <w:pStyle w:val="ListParagraph"/>
              <w:numPr>
                <w:ilvl w:val="0"/>
                <w:numId w:val="1"/>
              </w:numPr>
            </w:pPr>
            <w:r>
              <w:t xml:space="preserve">Non-OEM-specific products and services in the resulting Contract vendor’s catalog, subject to Contract discounts. </w:t>
            </w:r>
          </w:p>
          <w:p w:rsidR="00681FCA" w:rsidP="00681FCA" w:rsidRDefault="00681FCA" w14:paraId="588CC7BC" w14:textId="287FD898"/>
          <w:p w:rsidR="00A335C2" w:rsidP="00681FCA" w:rsidRDefault="00681FCA" w14:paraId="76DEA3C4" w14:textId="6B6628F0">
            <w:r>
              <w:t>The resulting Contract vendor must have comprehensive IT expertise, strong financial stability to meet procurement needs across national markets, strong customer service, and robust IT distribution and consulting capabilities.</w:t>
            </w:r>
            <w:r>
              <w:t xml:space="preserve"> (Solicitation, Appendix B, Section F, 11. Scope of Work, 11.1 General Requirements and Expectations)</w:t>
            </w:r>
          </w:p>
        </w:tc>
      </w:tr>
      <w:tr w:rsidR="00A335C2" w:rsidTr="2673BA1B" w14:paraId="0B4A9B0D" w14:textId="77777777">
        <w:tc>
          <w:tcPr>
            <w:tcW w:w="1110" w:type="dxa"/>
            <w:tcMar/>
          </w:tcPr>
          <w:p w:rsidR="00A335C2" w:rsidP="009B6A16" w:rsidRDefault="00A335C2" w14:paraId="134CEAB4" w14:textId="77777777">
            <w:r>
              <w:lastRenderedPageBreak/>
              <w:t>4</w:t>
            </w:r>
          </w:p>
        </w:tc>
        <w:tc>
          <w:tcPr>
            <w:tcW w:w="3090" w:type="dxa"/>
            <w:tcMar/>
          </w:tcPr>
          <w:p w:rsidR="00A335C2" w:rsidP="009B6A16" w:rsidRDefault="00A335C2" w14:paraId="08D4C0C7" w14:textId="1185B216">
            <w:r>
              <w:t>Are the anticipated volumes in the bid documents?</w:t>
            </w:r>
          </w:p>
        </w:tc>
        <w:tc>
          <w:tcPr>
            <w:tcW w:w="5272" w:type="dxa"/>
            <w:tcMar/>
          </w:tcPr>
          <w:p w:rsidR="00A335C2" w:rsidP="009B6A16" w:rsidRDefault="00CF52EF" w14:paraId="64F44D69" w14:textId="47754BFB">
            <w:r w:rsidRPr="00CF52EF">
              <w:t>Estimated quantity IDIQ</w:t>
            </w:r>
            <w:r w:rsidR="00A61400">
              <w:t xml:space="preserve">. </w:t>
            </w:r>
            <w:r w:rsidRPr="00A61400" w:rsidR="00A61400">
              <w:t>While no minimum volume is guaranteed to Supplier, the estimated annual volume is projected based on the current annual volumes among Lead Agency and other Participating Agencies that are anticipated to utilize the resulting Master Agreement to be made available to them through the Program and volume growth into other public agency members through a coordinated marketing approach between Supplier and CoreTrust.</w:t>
            </w:r>
            <w:r w:rsidR="00A61400">
              <w:t xml:space="preserve"> (Solicitation, Appendix </w:t>
            </w:r>
            <w:r w:rsidR="00E737E3">
              <w:t>B, Section G, Estimated Quantities)</w:t>
            </w:r>
          </w:p>
        </w:tc>
      </w:tr>
      <w:tr w:rsidR="46725FBA" w:rsidTr="2673BA1B" w14:paraId="463B18ED">
        <w:trPr>
          <w:trHeight w:val="300"/>
        </w:trPr>
        <w:tc>
          <w:tcPr>
            <w:tcW w:w="1110" w:type="dxa"/>
            <w:tcMar/>
          </w:tcPr>
          <w:p w:rsidR="46725FBA" w:rsidP="46725FBA" w:rsidRDefault="46725FBA" w14:paraId="18D4E4DD" w14:textId="301E48E0">
            <w:pPr>
              <w:pStyle w:val="Normal"/>
            </w:pPr>
            <w:r w:rsidR="7D0F84E3">
              <w:rPr/>
              <w:t>5</w:t>
            </w:r>
          </w:p>
        </w:tc>
        <w:tc>
          <w:tcPr>
            <w:tcW w:w="3090" w:type="dxa"/>
            <w:tcMar/>
          </w:tcPr>
          <w:p w:rsidR="46725FBA" w:rsidP="46725FBA" w:rsidRDefault="46725FBA" w14:paraId="0B17A52D" w14:textId="563822A3">
            <w:pPr>
              <w:pStyle w:val="Normal"/>
            </w:pPr>
            <w:r w:rsidR="7D0F84E3">
              <w:rPr/>
              <w:t xml:space="preserve">The requirement for verifiable sales is a significant administrative task that </w:t>
            </w:r>
            <w:r w:rsidR="419D7D34">
              <w:rPr/>
              <w:t>makes</w:t>
            </w:r>
            <w:r w:rsidR="7D0F84E3">
              <w:rPr/>
              <w:t xml:space="preserve"> responding to the solicitation prohibitive</w:t>
            </w:r>
            <w:r w:rsidR="7D0F84E3">
              <w:rPr/>
              <w:t xml:space="preserve">.  </w:t>
            </w:r>
            <w:r w:rsidR="7D0F84E3">
              <w:rPr/>
              <w:t xml:space="preserve"> Will you consider other evidence of national </w:t>
            </w:r>
            <w:r w:rsidR="7D0F84E3">
              <w:rPr/>
              <w:t>capacity</w:t>
            </w:r>
            <w:r w:rsidR="7D0F84E3">
              <w:rPr/>
              <w:t>? (SECTION G.4)</w:t>
            </w:r>
          </w:p>
          <w:p w:rsidR="46725FBA" w:rsidP="46725FBA" w:rsidRDefault="46725FBA" w14:paraId="69546F31" w14:textId="6AD00737">
            <w:pPr>
              <w:pStyle w:val="Normal"/>
            </w:pPr>
          </w:p>
        </w:tc>
        <w:tc>
          <w:tcPr>
            <w:tcW w:w="5272" w:type="dxa"/>
            <w:tcMar/>
          </w:tcPr>
          <w:p w:rsidR="7680FE68" w:rsidP="4173AEA2" w:rsidRDefault="7680FE68" w14:paraId="1DC37907" w14:textId="00581D12">
            <w:pPr>
              <w:bidi w:val="0"/>
              <w:spacing w:before="0" w:beforeAutospacing="off" w:after="0" w:afterAutospacing="off" w:line="240" w:lineRule="auto"/>
              <w:ind w:left="0" w:right="0"/>
              <w:jc w:val="left"/>
              <w:rPr>
                <w:rFonts w:ascii="Aptos" w:hAnsi="Aptos" w:eastAsia="Aptos" w:cs="Aptos"/>
                <w:noProof w:val="0"/>
                <w:sz w:val="24"/>
                <w:szCs w:val="24"/>
                <w:lang w:val="en-US"/>
              </w:rPr>
            </w:pPr>
            <w:r w:rsidRPr="4173AEA2" w:rsidR="7680FE68">
              <w:rPr>
                <w:rFonts w:ascii="Aptos" w:hAnsi="Aptos" w:eastAsia="Aptos" w:cs="Aptos"/>
                <w:b w:val="0"/>
                <w:bCs w:val="0"/>
                <w:i w:val="0"/>
                <w:iCs w:val="0"/>
                <w:caps w:val="0"/>
                <w:smallCaps w:val="0"/>
                <w:noProof w:val="0"/>
                <w:color w:val="000000" w:themeColor="text1" w:themeTint="FF" w:themeShade="FF"/>
                <w:sz w:val="24"/>
                <w:szCs w:val="24"/>
                <w:lang w:val="en-US"/>
              </w:rPr>
              <w:t xml:space="preserve">We have revised the Solicitation to </w:t>
            </w: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 xml:space="preserve">notify </w:t>
            </w: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Bidders</w:t>
            </w: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 xml:space="preserve"> the following:</w:t>
            </w:r>
          </w:p>
          <w:p w:rsidR="7680FE68" w:rsidP="4173AEA2" w:rsidRDefault="7680FE68" w14:paraId="699C219B" w14:textId="0C7D965A">
            <w:pPr>
              <w:bidi w:val="0"/>
              <w:spacing w:before="0" w:beforeAutospacing="off" w:after="0" w:afterAutospacing="off" w:line="240" w:lineRule="auto"/>
              <w:ind w:left="0" w:right="0"/>
              <w:jc w:val="left"/>
              <w:rPr>
                <w:rFonts w:ascii="Aptos" w:hAnsi="Aptos" w:eastAsia="Aptos" w:cs="Aptos"/>
                <w:b w:val="0"/>
                <w:bCs w:val="0"/>
                <w:i w:val="0"/>
                <w:iCs w:val="0"/>
                <w:caps w:val="0"/>
                <w:smallCaps w:val="0"/>
                <w:noProof w:val="0"/>
                <w:color w:val="000000" w:themeColor="text1" w:themeTint="FF" w:themeShade="FF"/>
                <w:sz w:val="24"/>
                <w:szCs w:val="24"/>
                <w:lang w:val="en-US"/>
              </w:rPr>
            </w:pPr>
          </w:p>
          <w:p w:rsidR="7680FE68" w:rsidP="4173AEA2" w:rsidRDefault="7680FE68" w14:paraId="038B79C9" w14:textId="45A3CD0B">
            <w:pPr>
              <w:bidi w:val="0"/>
              <w:spacing w:before="0" w:beforeAutospacing="off" w:after="0" w:afterAutospacing="off" w:line="240" w:lineRule="auto"/>
              <w:ind w:left="0" w:right="0"/>
              <w:jc w:val="left"/>
              <w:rPr>
                <w:rFonts w:ascii="Aptos" w:hAnsi="Aptos" w:eastAsia="Aptos" w:cs="Aptos"/>
                <w:noProof w:val="0"/>
                <w:sz w:val="24"/>
                <w:szCs w:val="24"/>
                <w:lang w:val="en-US"/>
              </w:rPr>
            </w:pP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-Bidders will complete a Verifiable Sales Attestation form with their bid submission;</w:t>
            </w:r>
          </w:p>
          <w:p w:rsidR="7680FE68" w:rsidP="4173AEA2" w:rsidRDefault="7680FE68" w14:paraId="6F4D0291" w14:textId="2464D97F">
            <w:pPr>
              <w:bidi w:val="0"/>
              <w:spacing w:before="0" w:beforeAutospacing="off" w:after="0" w:afterAutospacing="off" w:line="240" w:lineRule="auto"/>
              <w:ind w:left="0" w:right="0"/>
              <w:jc w:val="left"/>
              <w:rPr>
                <w:rFonts w:ascii="Aptos" w:hAnsi="Aptos" w:eastAsia="Aptos" w:cs="Aptos"/>
                <w:noProof w:val="0"/>
                <w:sz w:val="24"/>
                <w:szCs w:val="24"/>
                <w:lang w:val="en-US"/>
              </w:rPr>
            </w:pP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 xml:space="preserve">-Only the </w:t>
            </w: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apparent</w:t>
            </w: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 xml:space="preserve"> awardee will be asked to complete</w:t>
            </w: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Verifiable Sales documentation</w:t>
            </w:r>
            <w:r w:rsidRPr="4173AEA2" w:rsidR="15A57A7A">
              <w:rPr>
                <w:rFonts w:ascii="Aptos" w:hAnsi="Aptos" w:eastAsia="Aptos" w:cs="Aptos"/>
                <w:b w:val="0"/>
                <w:bCs w:val="0"/>
                <w:i w:val="0"/>
                <w:iCs w:val="0"/>
                <w:caps w:val="0"/>
                <w:smallCaps w:val="0"/>
                <w:noProof w:val="0"/>
                <w:color w:val="000000" w:themeColor="text1" w:themeTint="FF" w:themeShade="FF"/>
                <w:sz w:val="24"/>
                <w:szCs w:val="24"/>
                <w:lang w:val="en-US"/>
              </w:rPr>
              <w:t>;</w:t>
            </w: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 xml:space="preserve"> and </w:t>
            </w:r>
          </w:p>
          <w:p w:rsidR="7680FE68" w:rsidP="4173AEA2" w:rsidRDefault="7680FE68" w14:paraId="242A8954" w14:textId="262DAF53">
            <w:pPr>
              <w:bidi w:val="0"/>
              <w:spacing w:before="0" w:beforeAutospacing="off" w:after="0" w:afterAutospacing="off" w:line="240" w:lineRule="auto"/>
              <w:ind w:left="0" w:right="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4173AEA2" w:rsidR="1A972B5C">
              <w:rPr>
                <w:rFonts w:ascii="Aptos" w:hAnsi="Aptos" w:eastAsia="Aptos" w:cs="Aptos"/>
                <w:b w:val="0"/>
                <w:bCs w:val="0"/>
                <w:i w:val="0"/>
                <w:iCs w:val="0"/>
                <w:caps w:val="0"/>
                <w:smallCaps w:val="0"/>
                <w:noProof w:val="0"/>
                <w:color w:val="000000" w:themeColor="text1" w:themeTint="FF" w:themeShade="FF"/>
                <w:sz w:val="24"/>
                <w:szCs w:val="24"/>
                <w:lang w:val="en-US"/>
              </w:rPr>
              <w:t xml:space="preserve">-The apparent awardee has the option </w:t>
            </w:r>
            <w:r w:rsidRPr="4173AEA2" w:rsidR="7680FE68">
              <w:rPr>
                <w:rFonts w:ascii="Aptos" w:hAnsi="Aptos" w:eastAsia="Aptos" w:cs="Aptos"/>
                <w:b w:val="0"/>
                <w:bCs w:val="0"/>
                <w:i w:val="0"/>
                <w:iCs w:val="0"/>
                <w:caps w:val="0"/>
                <w:smallCaps w:val="0"/>
                <w:noProof w:val="0"/>
                <w:color w:val="000000" w:themeColor="text1" w:themeTint="FF" w:themeShade="FF"/>
                <w:sz w:val="24"/>
                <w:szCs w:val="24"/>
                <w:lang w:val="en-US"/>
              </w:rPr>
              <w:t xml:space="preserve">to supply their </w:t>
            </w:r>
            <w:r w:rsidRPr="4173AEA2" w:rsidR="54E4A91A">
              <w:rPr>
                <w:rFonts w:ascii="Aptos" w:hAnsi="Aptos" w:eastAsia="Aptos" w:cs="Aptos"/>
                <w:b w:val="0"/>
                <w:bCs w:val="0"/>
                <w:i w:val="0"/>
                <w:iCs w:val="0"/>
                <w:caps w:val="0"/>
                <w:smallCaps w:val="0"/>
                <w:noProof w:val="0"/>
                <w:color w:val="000000" w:themeColor="text1" w:themeTint="FF" w:themeShade="FF"/>
                <w:sz w:val="24"/>
                <w:szCs w:val="24"/>
                <w:lang w:val="en-US"/>
              </w:rPr>
              <w:t xml:space="preserve">own </w:t>
            </w:r>
            <w:r w:rsidRPr="4173AEA2" w:rsidR="7680FE68">
              <w:rPr>
                <w:rFonts w:ascii="Aptos" w:hAnsi="Aptos" w:eastAsia="Aptos" w:cs="Aptos"/>
                <w:b w:val="0"/>
                <w:bCs w:val="0"/>
                <w:i w:val="0"/>
                <w:iCs w:val="0"/>
                <w:caps w:val="0"/>
                <w:smallCaps w:val="0"/>
                <w:noProof w:val="0"/>
                <w:color w:val="000000" w:themeColor="text1" w:themeTint="FF" w:themeShade="FF"/>
                <w:sz w:val="24"/>
                <w:szCs w:val="24"/>
                <w:lang w:val="en-US"/>
              </w:rPr>
              <w:t>sales data instead of 24COR-018GR Verifiable Sales (Excel).</w:t>
            </w:r>
          </w:p>
          <w:p w:rsidR="2412CEFE" w:rsidP="2412CEFE" w:rsidRDefault="2412CEFE" w14:paraId="09951AC3" w14:textId="18AF291D">
            <w:pPr>
              <w:pStyle w:val="Normal"/>
              <w:suppressLineNumbers w:val="0"/>
              <w:bidi w:val="0"/>
              <w:spacing w:before="0" w:beforeAutospacing="off" w:after="0" w:afterAutospacing="off" w:line="240" w:lineRule="auto"/>
              <w:ind w:left="0" w:right="0"/>
              <w:jc w:val="left"/>
              <w:rPr>
                <w:color w:val="auto"/>
              </w:rPr>
            </w:pPr>
          </w:p>
          <w:p w:rsidR="46725FBA" w:rsidP="123A1D7B" w:rsidRDefault="46725FBA" w14:paraId="36F24D42" w14:textId="3E5A0C47">
            <w:pPr>
              <w:pStyle w:val="Normal"/>
              <w:suppressLineNumbers w:val="0"/>
              <w:bidi w:val="0"/>
              <w:spacing w:before="0" w:beforeAutospacing="off" w:after="0" w:afterAutospacing="off" w:line="240" w:lineRule="auto"/>
              <w:ind w:left="0" w:right="0"/>
              <w:jc w:val="left"/>
              <w:rPr>
                <w:color w:val="auto"/>
              </w:rPr>
            </w:pPr>
            <w:r w:rsidRPr="4173AEA2" w:rsidR="75EA22EC">
              <w:rPr>
                <w:color w:val="auto"/>
              </w:rPr>
              <w:t xml:space="preserve">Please refer to </w:t>
            </w:r>
            <w:r w:rsidRPr="4173AEA2" w:rsidR="4A1F93B7">
              <w:rPr>
                <w:color w:val="auto"/>
              </w:rPr>
              <w:t xml:space="preserve">the revisions found in </w:t>
            </w:r>
            <w:r w:rsidRPr="4173AEA2" w:rsidR="75EA22EC">
              <w:rPr>
                <w:color w:val="auto"/>
              </w:rPr>
              <w:t>Solicitation, Appendix B, Section G, 4. Verifiable Sales</w:t>
            </w:r>
            <w:r w:rsidRPr="4173AEA2" w:rsidR="443FE41D">
              <w:rPr>
                <w:color w:val="auto"/>
              </w:rPr>
              <w:t>.</w:t>
            </w:r>
          </w:p>
          <w:p w:rsidR="46725FBA" w:rsidP="2412CEFE" w:rsidRDefault="46725FBA" w14:paraId="4779A701" w14:textId="12E6AC31">
            <w:pPr>
              <w:pStyle w:val="Normal"/>
              <w:suppressLineNumbers w:val="0"/>
              <w:bidi w:val="0"/>
              <w:spacing w:before="0" w:beforeAutospacing="off" w:after="0" w:afterAutospacing="off" w:line="240" w:lineRule="auto"/>
              <w:ind w:left="0" w:right="0"/>
              <w:jc w:val="left"/>
              <w:rPr>
                <w:color w:val="auto"/>
              </w:rPr>
            </w:pPr>
          </w:p>
          <w:p w:rsidR="46725FBA" w:rsidP="2412CEFE" w:rsidRDefault="46725FBA" w14:paraId="445C9ED6" w14:textId="3BC66493">
            <w:pPr>
              <w:spacing w:before="0" w:beforeAutospacing="off" w:after="0" w:afterAutospacing="off" w:line="240" w:lineRule="auto"/>
              <w:ind w:left="0" w:right="0"/>
              <w:jc w:val="left"/>
              <w:rPr>
                <w:rFonts w:ascii="Aptos" w:hAnsi="Aptos" w:eastAsia="Aptos" w:cs="Aptos"/>
                <w:noProof w:val="0"/>
                <w:sz w:val="24"/>
                <w:szCs w:val="24"/>
                <w:lang w:val="en-US"/>
              </w:rPr>
            </w:pPr>
            <w:r w:rsidRPr="357441B2" w:rsidR="47A46C85">
              <w:rPr>
                <w:rFonts w:ascii="Aptos" w:hAnsi="Aptos" w:eastAsia="Aptos" w:cs="Aptos"/>
                <w:b w:val="0"/>
                <w:bCs w:val="0"/>
                <w:i w:val="0"/>
                <w:iCs w:val="0"/>
                <w:caps w:val="0"/>
                <w:smallCaps w:val="0"/>
                <w:noProof w:val="0"/>
                <w:color w:val="000000" w:themeColor="text1" w:themeTint="FF" w:themeShade="FF"/>
                <w:sz w:val="24"/>
                <w:szCs w:val="24"/>
                <w:lang w:val="en-US"/>
              </w:rPr>
              <w:t xml:space="preserve">Verifiable Sales is designed to be a metric proving the Bidder’s financial and distribution capability of in-scope Products and Services at scale. We additionally reserve the right to audit and request </w:t>
            </w:r>
            <w:r w:rsidRPr="357441B2" w:rsidR="47A46C85">
              <w:rPr>
                <w:rFonts w:ascii="Aptos" w:hAnsi="Aptos" w:eastAsia="Aptos" w:cs="Aptos"/>
                <w:b w:val="0"/>
                <w:bCs w:val="0"/>
                <w:i w:val="0"/>
                <w:iCs w:val="0"/>
                <w:caps w:val="0"/>
                <w:smallCaps w:val="0"/>
                <w:noProof w:val="0"/>
                <w:color w:val="000000" w:themeColor="text1" w:themeTint="FF" w:themeShade="FF"/>
                <w:sz w:val="24"/>
                <w:szCs w:val="24"/>
                <w:lang w:val="en-US"/>
              </w:rPr>
              <w:t>additional</w:t>
            </w:r>
            <w:r w:rsidRPr="357441B2" w:rsidR="47A46C85">
              <w:rPr>
                <w:rFonts w:ascii="Aptos" w:hAnsi="Aptos" w:eastAsia="Aptos" w:cs="Aptos"/>
                <w:b w:val="0"/>
                <w:bCs w:val="0"/>
                <w:i w:val="0"/>
                <w:iCs w:val="0"/>
                <w:caps w:val="0"/>
                <w:smallCaps w:val="0"/>
                <w:noProof w:val="0"/>
                <w:color w:val="000000" w:themeColor="text1" w:themeTint="FF" w:themeShade="FF"/>
                <w:sz w:val="24"/>
                <w:szCs w:val="24"/>
                <w:lang w:val="en-US"/>
              </w:rPr>
              <w:t xml:space="preserve"> information to support Verifiable Sales documentation.</w:t>
            </w:r>
          </w:p>
          <w:p w:rsidR="46725FBA" w:rsidP="123A1D7B" w:rsidRDefault="46725FBA" w14:paraId="07650B99" w14:textId="48067C81">
            <w:pPr>
              <w:pStyle w:val="Normal"/>
              <w:rPr>
                <w:color w:val="FF0000"/>
              </w:rPr>
            </w:pPr>
          </w:p>
        </w:tc>
      </w:tr>
      <w:tr w:rsidR="64522E9A" w:rsidTr="2673BA1B" w14:paraId="499DDFFB">
        <w:trPr>
          <w:trHeight w:val="300"/>
        </w:trPr>
        <w:tc>
          <w:tcPr>
            <w:tcW w:w="1110" w:type="dxa"/>
            <w:tcMar/>
          </w:tcPr>
          <w:p w:rsidR="64522E9A" w:rsidP="64522E9A" w:rsidRDefault="64522E9A" w14:paraId="5B90D193" w14:textId="2035A88F">
            <w:pPr>
              <w:pStyle w:val="Normal"/>
            </w:pPr>
            <w:r w:rsidR="7D0F84E3">
              <w:rPr/>
              <w:t>6</w:t>
            </w:r>
          </w:p>
        </w:tc>
        <w:tc>
          <w:tcPr>
            <w:tcW w:w="3090" w:type="dxa"/>
            <w:tcMar/>
          </w:tcPr>
          <w:p w:rsidR="7D0F84E3" w:rsidP="64522E9A" w:rsidRDefault="7D0F84E3" w14:paraId="1F268AB7" w14:textId="24000E69">
            <w:pPr>
              <w:pStyle w:val="Normal"/>
            </w:pPr>
            <w:r w:rsidR="7D0F84E3">
              <w:rPr/>
              <w:t xml:space="preserve">To future proof the </w:t>
            </w:r>
            <w:r w:rsidR="1381B515">
              <w:rPr/>
              <w:t>contract, would</w:t>
            </w:r>
            <w:r w:rsidR="7D0F84E3">
              <w:rPr/>
              <w:t xml:space="preserve"> the town of Greece consider a discount by category list, instead of or in addition to a specific catalog product </w:t>
            </w:r>
            <w:r w:rsidR="7D0F84E3">
              <w:rPr/>
              <w:t>listings</w:t>
            </w:r>
            <w:r w:rsidR="7D0F84E3">
              <w:rPr/>
              <w:t>? (SECTION G.4)</w:t>
            </w:r>
          </w:p>
          <w:p w:rsidR="64522E9A" w:rsidP="64522E9A" w:rsidRDefault="64522E9A" w14:paraId="075C5055" w14:textId="5397A82B">
            <w:pPr>
              <w:pStyle w:val="Normal"/>
            </w:pPr>
          </w:p>
        </w:tc>
        <w:tc>
          <w:tcPr>
            <w:tcW w:w="5272" w:type="dxa"/>
            <w:tcMar/>
          </w:tcPr>
          <w:p w:rsidR="64522E9A" w:rsidP="123A1D7B" w:rsidRDefault="64522E9A" w14:paraId="39A78E6B" w14:textId="66F2A909">
            <w:pPr>
              <w:pStyle w:val="Normal"/>
              <w:rPr>
                <w:color w:val="auto"/>
              </w:rPr>
            </w:pPr>
            <w:r w:rsidRPr="123A1D7B" w:rsidR="30C4FE9F">
              <w:rPr>
                <w:color w:val="auto"/>
              </w:rPr>
              <w:t>Please refer to the revisions</w:t>
            </w:r>
            <w:r w:rsidRPr="123A1D7B" w:rsidR="30C4FE9F">
              <w:rPr>
                <w:color w:val="auto"/>
              </w:rPr>
              <w:t xml:space="preserve"> found in Solicitation, Appendix B, Section G, 4. B, Cost Proposal and Solicitation, Appendix B, Section F, </w:t>
            </w:r>
            <w:r w:rsidRPr="123A1D7B" w:rsidR="470CC4B5">
              <w:rPr>
                <w:color w:val="auto"/>
              </w:rPr>
              <w:t>11.5, Contract Price List Updates.</w:t>
            </w:r>
          </w:p>
          <w:p w:rsidR="64522E9A" w:rsidP="123A1D7B" w:rsidRDefault="64522E9A" w14:paraId="1FDBD8EB" w14:textId="450AC4BE">
            <w:pPr>
              <w:pStyle w:val="Normal"/>
              <w:rPr>
                <w:color w:val="auto"/>
              </w:rPr>
            </w:pPr>
          </w:p>
          <w:p w:rsidR="64522E9A" w:rsidP="123A1D7B" w:rsidRDefault="64522E9A" w14:paraId="03784595" w14:textId="2AF1E405">
            <w:pPr>
              <w:pStyle w:val="Normal"/>
              <w:rPr>
                <w:color w:val="auto"/>
              </w:rPr>
            </w:pPr>
            <w:r w:rsidRPr="2412CEFE" w:rsidR="72A125A6">
              <w:rPr>
                <w:color w:val="auto"/>
              </w:rPr>
              <w:t xml:space="preserve">The end goal of the solicitation is to offer Participating Entities transparent, competitive pricing to drive participation and engagement of the resulting Contract. </w:t>
            </w:r>
            <w:r w:rsidRPr="2412CEFE" w:rsidR="67A10A71">
              <w:rPr>
                <w:color w:val="auto"/>
              </w:rPr>
              <w:t xml:space="preserve">The resulting awarded Contractor’s Section O – Cost Proposal, which will become the Contract Price List, will detail the base pricing </w:t>
            </w:r>
            <w:r w:rsidRPr="2412CEFE" w:rsidR="1F7B4E44">
              <w:rPr>
                <w:color w:val="auto"/>
              </w:rPr>
              <w:t xml:space="preserve">of all items in-scope </w:t>
            </w:r>
            <w:r w:rsidRPr="2412CEFE" w:rsidR="67A10A71">
              <w:rPr>
                <w:color w:val="auto"/>
              </w:rPr>
              <w:t xml:space="preserve">(the Contract NTE List Price with </w:t>
            </w:r>
            <w:r w:rsidRPr="2412CEFE" w:rsidR="34D4A9A9">
              <w:rPr>
                <w:color w:val="auto"/>
              </w:rPr>
              <w:t xml:space="preserve">suggested Manufacturer’s List Price for comparison). It will clearly </w:t>
            </w:r>
            <w:r w:rsidRPr="2412CEFE" w:rsidR="34D4A9A9">
              <w:rPr>
                <w:color w:val="auto"/>
              </w:rPr>
              <w:t>indicate</w:t>
            </w:r>
            <w:r w:rsidRPr="2412CEFE" w:rsidR="34D4A9A9">
              <w:rPr>
                <w:color w:val="auto"/>
              </w:rPr>
              <w:t xml:space="preserve"> the applicable Lots for all Products and Services. It will detail the Manufacturers offered per Lot and the discount percentage offered against the </w:t>
            </w:r>
            <w:r w:rsidRPr="2412CEFE" w:rsidR="733B3239">
              <w:rPr>
                <w:color w:val="auto"/>
              </w:rPr>
              <w:t xml:space="preserve">Contract Net NTE Price per Manufacturer, per Lot. It will also </w:t>
            </w:r>
            <w:r w:rsidRPr="2412CEFE" w:rsidR="733B3239">
              <w:rPr>
                <w:color w:val="auto"/>
              </w:rPr>
              <w:t>identify</w:t>
            </w:r>
            <w:r w:rsidRPr="2412CEFE" w:rsidR="733B3239">
              <w:rPr>
                <w:color w:val="auto"/>
              </w:rPr>
              <w:t xml:space="preserve"> any further discounts available per Manufacturer, per Lot (</w:t>
            </w:r>
            <w:r w:rsidRPr="2412CEFE" w:rsidR="5D107B6F">
              <w:rPr>
                <w:color w:val="auto"/>
              </w:rPr>
              <w:t xml:space="preserve">such as volume discounts or product category discounts). </w:t>
            </w:r>
          </w:p>
          <w:p w:rsidR="64522E9A" w:rsidP="123A1D7B" w:rsidRDefault="64522E9A" w14:paraId="6773A519" w14:textId="00D376AB">
            <w:pPr>
              <w:pStyle w:val="Normal"/>
              <w:rPr>
                <w:color w:val="auto"/>
              </w:rPr>
            </w:pPr>
          </w:p>
          <w:p w:rsidR="3010AC26" w:rsidP="2412CEFE" w:rsidRDefault="3010AC26" w14:paraId="4319E4AF" w14:textId="3BC77D8E">
            <w:pPr>
              <w:rPr>
                <w:rFonts w:ascii="Aptos" w:hAnsi="Aptos" w:eastAsia="Aptos" w:cs="Aptos"/>
                <w:noProof w:val="0"/>
                <w:sz w:val="24"/>
                <w:szCs w:val="24"/>
                <w:lang w:val="en-US"/>
              </w:rPr>
            </w:pPr>
            <w:r w:rsidRPr="2412CEFE" w:rsidR="3010AC26">
              <w:rPr>
                <w:rFonts w:ascii="Aptos" w:hAnsi="Aptos" w:eastAsia="Aptos" w:cs="Aptos"/>
                <w:b w:val="0"/>
                <w:bCs w:val="0"/>
                <w:i w:val="0"/>
                <w:iCs w:val="0"/>
                <w:caps w:val="0"/>
                <w:smallCaps w:val="0"/>
                <w:noProof w:val="0"/>
                <w:color w:val="000000" w:themeColor="text1" w:themeTint="FF" w:themeShade="FF"/>
                <w:sz w:val="24"/>
                <w:szCs w:val="24"/>
                <w:lang w:val="en-US"/>
              </w:rPr>
              <w:t>No out-of-scope Products or Services will be permitted in the resulting contract price list.</w:t>
            </w:r>
          </w:p>
          <w:p w:rsidR="2412CEFE" w:rsidP="2412CEFE" w:rsidRDefault="2412CEFE" w14:paraId="63D35677" w14:textId="1FEC44F2">
            <w:pPr>
              <w:pStyle w:val="Normal"/>
              <w:rPr>
                <w:color w:val="auto"/>
              </w:rPr>
            </w:pPr>
          </w:p>
          <w:p w:rsidR="64522E9A" w:rsidP="123A1D7B" w:rsidRDefault="64522E9A" w14:paraId="59512C01" w14:textId="5155CCC6">
            <w:pPr>
              <w:pStyle w:val="Normal"/>
              <w:rPr>
                <w:color w:val="auto"/>
              </w:rPr>
            </w:pPr>
            <w:r w:rsidRPr="357441B2" w:rsidR="44945B91">
              <w:rPr>
                <w:color w:val="auto"/>
              </w:rPr>
              <w:t>In addition, we believe we have addressed future-proofing the resulting Contract with the named revisions, above.</w:t>
            </w:r>
          </w:p>
          <w:p w:rsidR="64522E9A" w:rsidP="123A1D7B" w:rsidRDefault="64522E9A" w14:paraId="6002D722" w14:textId="658197A0">
            <w:pPr>
              <w:pStyle w:val="Normal"/>
              <w:rPr>
                <w:color w:val="C00000"/>
              </w:rPr>
            </w:pPr>
          </w:p>
        </w:tc>
      </w:tr>
      <w:tr w:rsidR="56AFFB7A" w:rsidTr="2673BA1B" w14:paraId="53B0E899">
        <w:trPr>
          <w:trHeight w:val="300"/>
        </w:trPr>
        <w:tc>
          <w:tcPr>
            <w:tcW w:w="1110" w:type="dxa"/>
            <w:tcMar/>
          </w:tcPr>
          <w:p w:rsidR="7D0F84E3" w:rsidP="56AFFB7A" w:rsidRDefault="7D0F84E3" w14:paraId="49240C77" w14:textId="14430731">
            <w:pPr>
              <w:pStyle w:val="Normal"/>
            </w:pPr>
            <w:r w:rsidR="7D0F84E3">
              <w:rPr/>
              <w:t>7</w:t>
            </w:r>
          </w:p>
        </w:tc>
        <w:tc>
          <w:tcPr>
            <w:tcW w:w="3090" w:type="dxa"/>
            <w:tcMar/>
          </w:tcPr>
          <w:p w:rsidR="7D0F84E3" w:rsidP="56AFFB7A" w:rsidRDefault="7D0F84E3" w14:paraId="25A31E23" w14:textId="36B8CA0F">
            <w:pPr>
              <w:pStyle w:val="Normal"/>
            </w:pPr>
            <w:r w:rsidR="7D0F84E3">
              <w:rPr/>
              <w:t xml:space="preserve">The required software </w:t>
            </w:r>
            <w:r w:rsidR="7D0F84E3">
              <w:rPr/>
              <w:t>list includes</w:t>
            </w:r>
            <w:r w:rsidR="7D0F84E3">
              <w:rPr/>
              <w:t xml:space="preserve"> some niche software and also some platforms and software with limited partners in the market.  Can you </w:t>
            </w:r>
            <w:r w:rsidR="7D0F84E3">
              <w:rPr/>
              <w:t>eliminate</w:t>
            </w:r>
            <w:r w:rsidR="7D0F84E3">
              <w:rPr/>
              <w:t xml:space="preserve"> these or move them to optional </w:t>
            </w:r>
            <w:r w:rsidR="7D0F84E3">
              <w:rPr/>
              <w:t>services.</w:t>
            </w:r>
            <w:r w:rsidR="7D0F84E3">
              <w:rPr/>
              <w:t xml:space="preserve"> (Section F 11.4)   </w:t>
            </w:r>
          </w:p>
          <w:p w:rsidR="7D0F84E3" w:rsidP="56AFFB7A" w:rsidRDefault="7D0F84E3" w14:paraId="4347C935" w14:textId="567B82FF">
            <w:pPr>
              <w:pStyle w:val="Normal"/>
            </w:pPr>
            <w:r w:rsidR="7D0F84E3">
              <w:rPr/>
              <w:t>For example:</w:t>
            </w:r>
          </w:p>
          <w:p w:rsidR="7D0F84E3" w:rsidP="56AFFB7A" w:rsidRDefault="7D0F84E3" w14:paraId="24ABCF6D" w14:textId="602AF0A4">
            <w:pPr>
              <w:pStyle w:val="Normal"/>
            </w:pPr>
            <w:r w:rsidR="7D0F84E3">
              <w:rPr/>
              <w:t>Sales Force</w:t>
            </w:r>
          </w:p>
          <w:p w:rsidR="7D0F84E3" w:rsidP="56AFFB7A" w:rsidRDefault="7D0F84E3" w14:paraId="318E5F6E" w14:textId="7B188B55">
            <w:pPr>
              <w:pStyle w:val="Normal"/>
            </w:pPr>
            <w:r w:rsidR="7D0F84E3">
              <w:rPr/>
              <w:t>Splunk</w:t>
            </w:r>
          </w:p>
          <w:p w:rsidR="7D0F84E3" w:rsidP="56AFFB7A" w:rsidRDefault="7D0F84E3" w14:paraId="7EB65DE4" w14:textId="3011EDDB">
            <w:pPr>
              <w:pStyle w:val="Normal"/>
            </w:pPr>
            <w:r w:rsidR="7D0F84E3">
              <w:rPr/>
              <w:t>SAP</w:t>
            </w:r>
          </w:p>
          <w:p w:rsidR="7D0F84E3" w:rsidP="56AFFB7A" w:rsidRDefault="7D0F84E3" w14:paraId="1DAC22C2" w14:textId="42F55772">
            <w:pPr>
              <w:pStyle w:val="Normal"/>
            </w:pPr>
            <w:r w:rsidR="7D0F84E3">
              <w:rPr/>
              <w:t>Mule Soft</w:t>
            </w:r>
          </w:p>
          <w:p w:rsidR="7D0F84E3" w:rsidP="56AFFB7A" w:rsidRDefault="7D0F84E3" w14:paraId="30CBB89B" w14:textId="62F38D07">
            <w:pPr>
              <w:pStyle w:val="Normal"/>
            </w:pPr>
            <w:r w:rsidR="7D0F84E3">
              <w:rPr/>
              <w:t>Zscaler</w:t>
            </w:r>
          </w:p>
          <w:p w:rsidR="7D0F84E3" w:rsidP="56AFFB7A" w:rsidRDefault="7D0F84E3" w14:paraId="42A31511" w14:textId="18432E1D">
            <w:pPr>
              <w:pStyle w:val="Normal"/>
            </w:pPr>
            <w:r w:rsidR="7D0F84E3">
              <w:rPr/>
              <w:t>Informatica</w:t>
            </w:r>
          </w:p>
          <w:p w:rsidR="7D0F84E3" w:rsidP="56AFFB7A" w:rsidRDefault="7D0F84E3" w14:paraId="71C60454" w14:textId="3CD34C4B">
            <w:pPr>
              <w:pStyle w:val="Normal"/>
            </w:pPr>
            <w:r w:rsidR="7D0F84E3">
              <w:rPr/>
              <w:t>Genesys</w:t>
            </w:r>
          </w:p>
          <w:p w:rsidR="7D0F84E3" w:rsidP="56AFFB7A" w:rsidRDefault="7D0F84E3" w14:paraId="6C714289" w14:textId="54E0E6D2">
            <w:pPr>
              <w:pStyle w:val="Normal"/>
            </w:pPr>
            <w:r w:rsidR="7D0F84E3">
              <w:rPr/>
              <w:t>Slamon Consulting</w:t>
            </w:r>
          </w:p>
          <w:p w:rsidR="7D0F84E3" w:rsidP="56AFFB7A" w:rsidRDefault="7D0F84E3" w14:paraId="3F27BB4D" w14:textId="355A4F47">
            <w:pPr>
              <w:pStyle w:val="Normal"/>
            </w:pPr>
            <w:r w:rsidR="7D0F84E3">
              <w:rPr/>
              <w:t>Commvault</w:t>
            </w:r>
          </w:p>
          <w:p w:rsidR="56AFFB7A" w:rsidP="56AFFB7A" w:rsidRDefault="56AFFB7A" w14:paraId="54994251" w14:textId="5B563326">
            <w:pPr>
              <w:pStyle w:val="Normal"/>
            </w:pPr>
          </w:p>
        </w:tc>
        <w:tc>
          <w:tcPr>
            <w:tcW w:w="5272" w:type="dxa"/>
            <w:tcMar/>
          </w:tcPr>
          <w:p w:rsidR="56AFFB7A" w:rsidP="56AFFB7A" w:rsidRDefault="56AFFB7A" w14:paraId="5F38D473" w14:textId="13B805CA">
            <w:pPr>
              <w:pStyle w:val="Normal"/>
            </w:pPr>
            <w:r w:rsidR="1AAADBD8">
              <w:rPr/>
              <w:t xml:space="preserve">These products are </w:t>
            </w:r>
            <w:r w:rsidR="1AAADBD8">
              <w:rPr/>
              <w:t>desired</w:t>
            </w:r>
            <w:r w:rsidR="1AAADBD8">
              <w:rPr/>
              <w:t xml:space="preserve"> by governmental entities. If a Bidder </w:t>
            </w:r>
            <w:r w:rsidR="5C300FBC">
              <w:rPr/>
              <w:t xml:space="preserve">must </w:t>
            </w:r>
            <w:r w:rsidR="1AAADBD8">
              <w:rPr/>
              <w:t>take exception</w:t>
            </w:r>
            <w:r w:rsidR="4C9BF4F2">
              <w:rPr/>
              <w:t xml:space="preserve"> or if they have a deviation</w:t>
            </w:r>
            <w:r w:rsidR="1AAADBD8">
              <w:rPr/>
              <w:t xml:space="preserve"> to a requirement</w:t>
            </w:r>
            <w:r w:rsidR="6A4C7338">
              <w:rPr/>
              <w:t xml:space="preserve"> from Solicitation, Appendix B, Section F, 11.4</w:t>
            </w:r>
            <w:r w:rsidR="1AAADBD8">
              <w:rPr/>
              <w:t>, please explain why</w:t>
            </w:r>
            <w:r w:rsidR="20304B03">
              <w:rPr/>
              <w:t xml:space="preserve"> in your submission response.</w:t>
            </w:r>
          </w:p>
          <w:p w:rsidR="56AFFB7A" w:rsidP="56AFFB7A" w:rsidRDefault="56AFFB7A" w14:paraId="0E69F94C" w14:textId="530501EF">
            <w:pPr>
              <w:pStyle w:val="Normal"/>
            </w:pPr>
          </w:p>
          <w:p w:rsidR="56AFFB7A" w:rsidP="56AFFB7A" w:rsidRDefault="56AFFB7A" w14:paraId="69145DF9" w14:textId="2D5D6687">
            <w:pPr>
              <w:pStyle w:val="Normal"/>
            </w:pPr>
            <w:r w:rsidR="4407FAAF">
              <w:rPr/>
              <w:t xml:space="preserve">As an example, if one brand has an exclusive deal with someone else, please highlight that and bring it to our attention. </w:t>
            </w:r>
          </w:p>
          <w:p w:rsidR="56AFFB7A" w:rsidP="56AFFB7A" w:rsidRDefault="56AFFB7A" w14:paraId="24B56D1C" w14:textId="3DC697F2">
            <w:pPr>
              <w:pStyle w:val="Normal"/>
            </w:pPr>
          </w:p>
          <w:p w:rsidR="56AFFB7A" w:rsidP="56AFFB7A" w:rsidRDefault="56AFFB7A" w14:paraId="3212E552" w14:textId="53E84E4D">
            <w:pPr>
              <w:pStyle w:val="Normal"/>
            </w:pPr>
            <w:r w:rsidR="1CB8E5AE">
              <w:rPr/>
              <w:t>Bidders shall communicate any proposed exceptions or deviations in the Master Agreement Acceptance Form provided in Section J of this Solicitation.</w:t>
            </w:r>
            <w:r w:rsidR="4AE09522">
              <w:rPr/>
              <w:t xml:space="preserve"> (Solicitation, Appendix B, Section F, 6. Master Agreement, A. Master Agreement)</w:t>
            </w:r>
          </w:p>
          <w:p w:rsidR="56AFFB7A" w:rsidP="56AFFB7A" w:rsidRDefault="56AFFB7A" w14:paraId="79F19201" w14:textId="5C25C65D">
            <w:pPr>
              <w:pStyle w:val="Normal"/>
            </w:pPr>
          </w:p>
        </w:tc>
      </w:tr>
      <w:tr w:rsidR="56AFFB7A" w:rsidTr="2673BA1B" w14:paraId="2FC2A430">
        <w:trPr>
          <w:trHeight w:val="300"/>
        </w:trPr>
        <w:tc>
          <w:tcPr>
            <w:tcW w:w="1110" w:type="dxa"/>
            <w:tcMar/>
          </w:tcPr>
          <w:p w:rsidR="7D0F84E3" w:rsidP="56AFFB7A" w:rsidRDefault="7D0F84E3" w14:paraId="2EBD661B" w14:textId="0E2BA3E0">
            <w:pPr>
              <w:pStyle w:val="Normal"/>
            </w:pPr>
            <w:r w:rsidR="7D0F84E3">
              <w:rPr/>
              <w:t>8</w:t>
            </w:r>
          </w:p>
        </w:tc>
        <w:tc>
          <w:tcPr>
            <w:tcW w:w="3090" w:type="dxa"/>
            <w:tcMar/>
          </w:tcPr>
          <w:p w:rsidR="7D0F84E3" w:rsidP="56AFFB7A" w:rsidRDefault="7D0F84E3" w14:paraId="522B532F" w14:textId="10D85D92">
            <w:pPr>
              <w:pStyle w:val="Normal"/>
            </w:pPr>
            <w:r w:rsidR="7D0F84E3">
              <w:rPr/>
              <w:t>Each organization that can respond to this solicitation is structured for services differently</w:t>
            </w:r>
            <w:r w:rsidR="7D0F84E3">
              <w:rPr/>
              <w:t xml:space="preserve">. </w:t>
            </w:r>
            <w:r w:rsidR="7D0F84E3">
              <w:rPr/>
              <w:t xml:space="preserve">Please confirm you will accept alternative delivery models for customer service for Technology specialization, including an ability to </w:t>
            </w:r>
            <w:r w:rsidR="7D0F84E3">
              <w:rPr/>
              <w:t>demonstrate</w:t>
            </w:r>
            <w:r w:rsidR="7D0F84E3">
              <w:rPr/>
              <w:t xml:space="preserve"> how we manage deploying a </w:t>
            </w:r>
            <w:r w:rsidR="7D0F84E3">
              <w:rPr/>
              <w:t>solution vs specific org charts</w:t>
            </w:r>
            <w:r w:rsidR="7D0F84E3">
              <w:rPr/>
              <w:t xml:space="preserve"> for each as called out in the RFP. (Section F 11.9.5)</w:t>
            </w:r>
          </w:p>
          <w:p w:rsidR="56AFFB7A" w:rsidP="56AFFB7A" w:rsidRDefault="56AFFB7A" w14:paraId="3CC0FF81" w14:textId="74A47717">
            <w:pPr>
              <w:pStyle w:val="Normal"/>
            </w:pPr>
          </w:p>
        </w:tc>
        <w:tc>
          <w:tcPr>
            <w:tcW w:w="5272" w:type="dxa"/>
            <w:tcMar/>
          </w:tcPr>
          <w:p w:rsidR="56AFFB7A" w:rsidP="56AFFB7A" w:rsidRDefault="56AFFB7A" w14:paraId="73CC44FC" w14:textId="656D38E5">
            <w:pPr>
              <w:pStyle w:val="Normal"/>
            </w:pPr>
            <w:r w:rsidR="2A074460">
              <w:rPr/>
              <w:t>Our intention is to understand how your</w:t>
            </w:r>
            <w:r w:rsidR="2137CF8C">
              <w:rPr/>
              <w:t xml:space="preserve"> customer</w:t>
            </w:r>
            <w:r w:rsidR="2A074460">
              <w:rPr/>
              <w:t xml:space="preserve"> service is organized</w:t>
            </w:r>
            <w:r w:rsidR="5BE26CE8">
              <w:rPr/>
              <w:t xml:space="preserve"> in a way that is transparent to Participating Entities</w:t>
            </w:r>
            <w:r w:rsidR="2A074460">
              <w:rPr/>
              <w:t xml:space="preserve">. </w:t>
            </w:r>
            <w:r w:rsidR="6CEA3781">
              <w:rPr/>
              <w:t>Our goal is to see how Bidders manage these areas of expertise and how Bidders manage them at scale.</w:t>
            </w:r>
          </w:p>
          <w:p w:rsidR="56AFFB7A" w:rsidP="56AFFB7A" w:rsidRDefault="56AFFB7A" w14:paraId="5FCDE63C" w14:textId="11788DD2">
            <w:pPr>
              <w:pStyle w:val="Normal"/>
            </w:pPr>
          </w:p>
          <w:p w:rsidR="56AFFB7A" w:rsidP="123A1D7B" w:rsidRDefault="56AFFB7A" w14:paraId="7A3BA436" w14:textId="1C10B44D">
            <w:pPr>
              <w:pStyle w:val="Normal"/>
              <w:suppressLineNumbers w:val="0"/>
              <w:bidi w:val="0"/>
              <w:spacing w:before="0" w:beforeAutospacing="off" w:after="0" w:afterAutospacing="off" w:line="240" w:lineRule="auto"/>
              <w:ind w:left="0" w:right="0"/>
              <w:jc w:val="left"/>
            </w:pPr>
            <w:r w:rsidR="2A074460">
              <w:rPr/>
              <w:t xml:space="preserve">We </w:t>
            </w:r>
            <w:r w:rsidR="2A074460">
              <w:rPr/>
              <w:t>request</w:t>
            </w:r>
            <w:r w:rsidR="17F3B2E0">
              <w:rPr/>
              <w:t xml:space="preserve"> that</w:t>
            </w:r>
            <w:r w:rsidR="2A074460">
              <w:rPr/>
              <w:t xml:space="preserve"> Bidders respond to Section F 11.9.5 </w:t>
            </w:r>
            <w:r w:rsidR="082273EC">
              <w:rPr/>
              <w:t>to the best of their ability</w:t>
            </w:r>
            <w:r w:rsidR="36738749">
              <w:rPr/>
              <w:t xml:space="preserve"> in a way that satisfies the requirement. Detail your</w:t>
            </w:r>
            <w:r w:rsidR="2A074460">
              <w:rPr/>
              <w:t xml:space="preserve"> </w:t>
            </w:r>
            <w:r w:rsidR="0B935198">
              <w:rPr/>
              <w:t>organization charts/service delivery</w:t>
            </w:r>
            <w:r w:rsidR="384E2F59">
              <w:rPr/>
              <w:t xml:space="preserve"> models/</w:t>
            </w:r>
            <w:r w:rsidR="384E2F59">
              <w:rPr/>
              <w:t>etc.</w:t>
            </w:r>
            <w:r w:rsidR="0B935198">
              <w:rPr/>
              <w:t xml:space="preserve"> as applicable. </w:t>
            </w:r>
          </w:p>
        </w:tc>
      </w:tr>
      <w:tr w:rsidR="56AFFB7A" w:rsidTr="2673BA1B" w14:paraId="251F238F">
        <w:trPr>
          <w:trHeight w:val="300"/>
        </w:trPr>
        <w:tc>
          <w:tcPr>
            <w:tcW w:w="1110" w:type="dxa"/>
            <w:tcMar/>
          </w:tcPr>
          <w:p w:rsidR="7D0F84E3" w:rsidP="56AFFB7A" w:rsidRDefault="7D0F84E3" w14:paraId="26E68380" w14:textId="7C94FAAA">
            <w:pPr>
              <w:pStyle w:val="Normal"/>
            </w:pPr>
            <w:r w:rsidR="7D0F84E3">
              <w:rPr/>
              <w:t>9</w:t>
            </w:r>
          </w:p>
        </w:tc>
        <w:tc>
          <w:tcPr>
            <w:tcW w:w="3090" w:type="dxa"/>
            <w:tcMar/>
          </w:tcPr>
          <w:p w:rsidR="7D0F84E3" w:rsidP="56AFFB7A" w:rsidRDefault="7D0F84E3" w14:paraId="56CCC1B2" w14:textId="032B7B7D">
            <w:pPr>
              <w:pStyle w:val="Normal"/>
            </w:pPr>
            <w:r w:rsidR="7D0F84E3">
              <w:rPr/>
              <w:t xml:space="preserve">You ask for pricing by item on the pricing sheets, would discounting by category and including a link to </w:t>
            </w:r>
            <w:r w:rsidR="0117C074">
              <w:rPr/>
              <w:t>our</w:t>
            </w:r>
            <w:r w:rsidR="7D0F84E3">
              <w:rPr/>
              <w:t xml:space="preserve"> website with pricing be acceptable</w:t>
            </w:r>
            <w:r w:rsidR="7D0F84E3">
              <w:rPr/>
              <w:t xml:space="preserve">?  </w:t>
            </w:r>
            <w:r w:rsidR="7D0F84E3">
              <w:rPr/>
              <w:t>If not, there would be 1M+ line items and</w:t>
            </w:r>
            <w:r w:rsidR="7D0F84E3">
              <w:rPr/>
              <w:t xml:space="preserve"> unmanageable as well as not include any </w:t>
            </w:r>
            <w:r w:rsidR="7D0F84E3">
              <w:rPr/>
              <w:t>new items</w:t>
            </w:r>
            <w:r w:rsidR="7D0F84E3">
              <w:rPr/>
              <w:t xml:space="preserve"> that are released during the contract period (EXL. file 24COR-018GR)</w:t>
            </w:r>
          </w:p>
          <w:p w:rsidR="56AFFB7A" w:rsidP="56AFFB7A" w:rsidRDefault="56AFFB7A" w14:paraId="34CD204B" w14:textId="26CA9F49">
            <w:pPr>
              <w:pStyle w:val="Normal"/>
            </w:pPr>
          </w:p>
        </w:tc>
        <w:tc>
          <w:tcPr>
            <w:tcW w:w="5272" w:type="dxa"/>
            <w:tcMar/>
          </w:tcPr>
          <w:p w:rsidR="6298BA50" w:rsidRDefault="6298BA50" w14:paraId="3B1E67D3" w14:textId="442804B8">
            <w:r w:rsidRPr="2412CEFE" w:rsidR="6298BA50">
              <w:rPr>
                <w:rFonts w:ascii="Aptos" w:hAnsi="Aptos" w:eastAsia="Aptos" w:cs="Aptos"/>
                <w:b w:val="0"/>
                <w:bCs w:val="0"/>
                <w:i w:val="0"/>
                <w:iCs w:val="0"/>
                <w:caps w:val="0"/>
                <w:smallCaps w:val="0"/>
                <w:noProof w:val="0"/>
                <w:sz w:val="24"/>
                <w:szCs w:val="24"/>
                <w:lang w:val="en-US"/>
              </w:rPr>
              <w:t>Yes. We have revised the Solicitation and Pricing Pages to align with Bidders supplying a dedicated proposal link in lieu of transferring their catalog to the Pricing Pages.</w:t>
            </w:r>
          </w:p>
          <w:p w:rsidR="2412CEFE" w:rsidP="2412CEFE" w:rsidRDefault="2412CEFE" w14:paraId="52D91FF9" w14:textId="06622B8F">
            <w:pPr>
              <w:pStyle w:val="Normal"/>
              <w:rPr>
                <w:color w:val="auto"/>
              </w:rPr>
            </w:pPr>
          </w:p>
          <w:p w:rsidR="56AFFB7A" w:rsidP="123A1D7B" w:rsidRDefault="56AFFB7A" w14:paraId="21E92308" w14:textId="66F2A909">
            <w:pPr>
              <w:pStyle w:val="Normal"/>
              <w:rPr>
                <w:color w:val="auto"/>
              </w:rPr>
            </w:pPr>
            <w:r w:rsidRPr="123A1D7B" w:rsidR="02C55CA2">
              <w:rPr>
                <w:color w:val="auto"/>
              </w:rPr>
              <w:t>Please refer to the revisions found in Solicitation, Appendix B, Section G, 4. B, Cost Proposal and Solicitation, Appendix B, Section F, 11.5, Contract Price List Updates.</w:t>
            </w:r>
          </w:p>
          <w:p w:rsidR="56AFFB7A" w:rsidP="123A1D7B" w:rsidRDefault="56AFFB7A" w14:paraId="56AC8649" w14:textId="450AC4BE">
            <w:pPr>
              <w:pStyle w:val="Normal"/>
              <w:rPr>
                <w:color w:val="auto"/>
              </w:rPr>
            </w:pPr>
          </w:p>
          <w:p w:rsidR="56AFFB7A" w:rsidP="123A1D7B" w:rsidRDefault="56AFFB7A" w14:paraId="52E9079B" w14:textId="7F498711">
            <w:pPr>
              <w:pStyle w:val="Normal"/>
              <w:rPr>
                <w:color w:val="auto"/>
              </w:rPr>
            </w:pPr>
            <w:r w:rsidRPr="123A1D7B" w:rsidR="02C55CA2">
              <w:rPr>
                <w:color w:val="auto"/>
              </w:rPr>
              <w:t xml:space="preserve">The end goal of the solicitation is to offer Participating Entities transparent, competitive pricing to drive participation and engagement of the resulting Contract. The resulting awarded Contractor’s Section O – Cost Proposal, which will become the Contract Price List, will detail the base pricing (the Contract NTE List Price with suggested Manufacturer’s List Price for comparison). It will clearly indicate the applicable Lots for all Products and Services. It will detail the Manufacturers offered per Lot and the discount percentage offered against the Contract Net NTE Price per Manufacturer, per Lot. It will also identify any further discounts available per Manufacturer, per Lot (such as volume discounts or product category discounts). </w:t>
            </w:r>
          </w:p>
          <w:p w:rsidR="56AFFB7A" w:rsidP="123A1D7B" w:rsidRDefault="56AFFB7A" w14:paraId="43ADF7C4" w14:textId="00D376AB">
            <w:pPr>
              <w:pStyle w:val="Normal"/>
              <w:rPr>
                <w:color w:val="auto"/>
              </w:rPr>
            </w:pPr>
          </w:p>
          <w:p w:rsidR="56AFFB7A" w:rsidP="123A1D7B" w:rsidRDefault="56AFFB7A" w14:paraId="1406B51F" w14:textId="5155CCC6">
            <w:pPr>
              <w:pStyle w:val="Normal"/>
              <w:rPr>
                <w:color w:val="auto"/>
              </w:rPr>
            </w:pPr>
            <w:r w:rsidRPr="123A1D7B" w:rsidR="02C55CA2">
              <w:rPr>
                <w:color w:val="auto"/>
              </w:rPr>
              <w:t>In addition, we believe we have addressed future-proofing the resulting Contract with the named revisions, above.</w:t>
            </w:r>
          </w:p>
          <w:p w:rsidR="56AFFB7A" w:rsidP="56AFFB7A" w:rsidRDefault="56AFFB7A" w14:paraId="6869FFBB" w14:textId="18482195">
            <w:pPr>
              <w:pStyle w:val="Normal"/>
            </w:pPr>
          </w:p>
        </w:tc>
      </w:tr>
      <w:tr w:rsidR="2673BA1B" w:rsidTr="2673BA1B" w14:paraId="1E84E6E7">
        <w:trPr>
          <w:trHeight w:val="300"/>
        </w:trPr>
        <w:tc>
          <w:tcPr>
            <w:tcW w:w="1110" w:type="dxa"/>
            <w:tcMar>
              <w:left w:w="105" w:type="dxa"/>
              <w:right w:w="105" w:type="dxa"/>
            </w:tcMar>
            <w:vAlign w:val="top"/>
          </w:tcPr>
          <w:p w:rsidR="2673BA1B" w:rsidP="2673BA1B" w:rsidRDefault="2673BA1B" w14:paraId="3592CFAA" w14:textId="4EEB1D89">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10</w:t>
            </w:r>
          </w:p>
        </w:tc>
        <w:tc>
          <w:tcPr>
            <w:tcW w:w="3090" w:type="dxa"/>
            <w:tcMar>
              <w:left w:w="105" w:type="dxa"/>
              <w:right w:w="105" w:type="dxa"/>
            </w:tcMar>
            <w:vAlign w:val="top"/>
          </w:tcPr>
          <w:p w:rsidR="2673BA1B" w:rsidP="2673BA1B" w:rsidRDefault="2673BA1B" w14:paraId="33453DCD" w14:textId="556E0E63">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Will this contract award allow for subcontracting dealer arrangements allowing subcontractors to transact on their own paperwork? Invoice and collect directly from the end user agency?</w:t>
            </w:r>
          </w:p>
        </w:tc>
        <w:tc>
          <w:tcPr>
            <w:tcW w:w="5272" w:type="dxa"/>
            <w:tcMar>
              <w:left w:w="105" w:type="dxa"/>
              <w:right w:w="105" w:type="dxa"/>
            </w:tcMar>
            <w:vAlign w:val="top"/>
          </w:tcPr>
          <w:p w:rsidR="2673BA1B" w:rsidP="2673BA1B" w:rsidRDefault="2673BA1B" w14:paraId="7B6D262C" w14:textId="5816B311">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The resulting Contract allows for subcontracting. Please refer to Solicitation, Appendix F, 11.5 Contractor Responsibility for Subcontractors.</w:t>
            </w:r>
          </w:p>
          <w:p w:rsidR="2673BA1B" w:rsidP="2673BA1B" w:rsidRDefault="2673BA1B" w14:paraId="04B09C5D" w14:textId="411EEBE5">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1"/>
                <w:iCs w:val="1"/>
                <w:caps w:val="0"/>
                <w:smallCaps w:val="0"/>
                <w:color w:val="000000" w:themeColor="text1" w:themeTint="FF" w:themeShade="FF"/>
                <w:sz w:val="24"/>
                <w:szCs w:val="24"/>
                <w:lang w:val="en-US"/>
              </w:rPr>
              <w:t xml:space="preserve">Any deliverable (product or service) provided or furnished by a Subcontractor shall be deemed for the purposes of the resulting Contract to be provided or furnished by the Contractor.  </w:t>
            </w:r>
          </w:p>
          <w:p w:rsidR="2673BA1B" w:rsidP="2673BA1B" w:rsidRDefault="2673BA1B" w14:paraId="64736FEE" w14:textId="247D83F9">
            <w:pPr>
              <w:rPr>
                <w:rFonts w:ascii="Aptos" w:hAnsi="Aptos" w:eastAsia="游ゴシック"/>
                <w:b w:val="0"/>
                <w:bCs w:val="0"/>
                <w:i w:val="0"/>
                <w:iCs w:val="0"/>
                <w:caps w:val="0"/>
                <w:smallCaps w:val="0"/>
                <w:color w:val="000000" w:themeColor="text1" w:themeTint="FF" w:themeShade="FF"/>
                <w:sz w:val="24"/>
                <w:szCs w:val="24"/>
              </w:rPr>
            </w:pPr>
          </w:p>
        </w:tc>
      </w:tr>
      <w:tr w:rsidR="2673BA1B" w:rsidTr="2673BA1B" w14:paraId="3B8C3F99">
        <w:trPr>
          <w:trHeight w:val="300"/>
        </w:trPr>
        <w:tc>
          <w:tcPr>
            <w:tcW w:w="1110" w:type="dxa"/>
            <w:tcMar>
              <w:left w:w="105" w:type="dxa"/>
              <w:right w:w="105" w:type="dxa"/>
            </w:tcMar>
            <w:vAlign w:val="top"/>
          </w:tcPr>
          <w:p w:rsidR="2673BA1B" w:rsidP="2673BA1B" w:rsidRDefault="2673BA1B" w14:paraId="43817BF4" w14:textId="686556C6">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11</w:t>
            </w:r>
          </w:p>
        </w:tc>
        <w:tc>
          <w:tcPr>
            <w:tcW w:w="3090" w:type="dxa"/>
            <w:tcMar>
              <w:left w:w="105" w:type="dxa"/>
              <w:right w:w="105" w:type="dxa"/>
            </w:tcMar>
            <w:vAlign w:val="top"/>
          </w:tcPr>
          <w:p w:rsidR="2673BA1B" w:rsidP="2673BA1B" w:rsidRDefault="2673BA1B" w14:paraId="42341412" w14:textId="6BF9BAF3">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Will subcontractor socioeconomic status flow through the subcontracting plan?</w:t>
            </w:r>
          </w:p>
        </w:tc>
        <w:tc>
          <w:tcPr>
            <w:tcW w:w="5272" w:type="dxa"/>
            <w:tcMar>
              <w:left w:w="105" w:type="dxa"/>
              <w:right w:w="105" w:type="dxa"/>
            </w:tcMar>
            <w:vAlign w:val="top"/>
          </w:tcPr>
          <w:p w:rsidR="2673BA1B" w:rsidP="2673BA1B" w:rsidRDefault="2673BA1B" w14:paraId="33F8C16A" w14:textId="603FB531">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Please refer to 24COR-018GR Contact Information, Subcontractor Information tab. Bidders can indicate their Subcontractors’ socioeconomic status in Columns U-W.</w:t>
            </w:r>
          </w:p>
        </w:tc>
      </w:tr>
      <w:tr w:rsidR="2673BA1B" w:rsidTr="2673BA1B" w14:paraId="2A38B21F">
        <w:trPr>
          <w:trHeight w:val="300"/>
        </w:trPr>
        <w:tc>
          <w:tcPr>
            <w:tcW w:w="1110" w:type="dxa"/>
            <w:tcMar>
              <w:left w:w="105" w:type="dxa"/>
              <w:right w:w="105" w:type="dxa"/>
            </w:tcMar>
            <w:vAlign w:val="top"/>
          </w:tcPr>
          <w:p w:rsidR="2673BA1B" w:rsidP="2673BA1B" w:rsidRDefault="2673BA1B" w14:paraId="3D7E9D05" w14:textId="104A0C9C">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12</w:t>
            </w:r>
          </w:p>
        </w:tc>
        <w:tc>
          <w:tcPr>
            <w:tcW w:w="3090" w:type="dxa"/>
            <w:tcMar>
              <w:left w:w="105" w:type="dxa"/>
              <w:right w:w="105" w:type="dxa"/>
            </w:tcMar>
            <w:vAlign w:val="top"/>
          </w:tcPr>
          <w:p w:rsidR="2673BA1B" w:rsidP="2673BA1B" w:rsidRDefault="2673BA1B" w14:paraId="10F16BFE" w14:textId="0FE4B230">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Will discounted contract fee be considered for individual volume orders?</w:t>
            </w:r>
          </w:p>
        </w:tc>
        <w:tc>
          <w:tcPr>
            <w:tcW w:w="5272" w:type="dxa"/>
            <w:tcMar>
              <w:left w:w="105" w:type="dxa"/>
              <w:right w:w="105" w:type="dxa"/>
            </w:tcMar>
            <w:vAlign w:val="top"/>
          </w:tcPr>
          <w:p w:rsidR="2673BA1B" w:rsidP="2673BA1B" w:rsidRDefault="2673BA1B" w14:paraId="3D0999E6" w14:textId="612749C4">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This question appears to be related to the Administrative Fee.</w:t>
            </w:r>
          </w:p>
          <w:p w:rsidR="2673BA1B" w:rsidP="2673BA1B" w:rsidRDefault="2673BA1B" w14:paraId="0ABE9987" w14:textId="51CD0B61">
            <w:pPr>
              <w:rPr>
                <w:rFonts w:ascii="Aptos" w:hAnsi="Aptos" w:eastAsia="游ゴシック"/>
                <w:b w:val="0"/>
                <w:bCs w:val="0"/>
                <w:i w:val="0"/>
                <w:iCs w:val="0"/>
                <w:caps w:val="0"/>
                <w:smallCaps w:val="0"/>
                <w:color w:val="000000" w:themeColor="text1" w:themeTint="FF" w:themeShade="FF"/>
                <w:sz w:val="24"/>
                <w:szCs w:val="24"/>
              </w:rPr>
            </w:pPr>
          </w:p>
          <w:p w:rsidR="2673BA1B" w:rsidP="2673BA1B" w:rsidRDefault="2673BA1B" w14:paraId="4AEB30E3" w14:textId="2F24C272">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 xml:space="preserve">Please refer to the revised Solicitation, Section K, Attachment A, 7. Definitions, a. </w:t>
            </w:r>
            <w:r w:rsidRPr="2673BA1B" w:rsidR="2673BA1B">
              <w:rPr>
                <w:rFonts w:ascii="Aptos" w:hAnsi="Aptos" w:eastAsia="游ゴシック"/>
                <w:b w:val="0"/>
                <w:bCs w:val="0"/>
                <w:i w:val="1"/>
                <w:iCs w:val="1"/>
                <w:caps w:val="0"/>
                <w:smallCaps w:val="0"/>
                <w:color w:val="000000" w:themeColor="text1" w:themeTint="FF" w:themeShade="FF"/>
                <w:sz w:val="24"/>
                <w:szCs w:val="24"/>
                <w:lang w:val="en-US"/>
              </w:rPr>
              <w:t xml:space="preserve">“Administrative Fee” means an amount equal to one percent (1%) of the total sales price of all Products &amp; Services purchased by the Participating Agencies and billed by Supplier (excluding taxes).  </w:t>
            </w:r>
          </w:p>
        </w:tc>
      </w:tr>
      <w:tr w:rsidR="2673BA1B" w:rsidTr="2673BA1B" w14:paraId="62FFD1E6">
        <w:trPr>
          <w:trHeight w:val="300"/>
        </w:trPr>
        <w:tc>
          <w:tcPr>
            <w:tcW w:w="1110" w:type="dxa"/>
            <w:tcMar>
              <w:left w:w="105" w:type="dxa"/>
              <w:right w:w="105" w:type="dxa"/>
            </w:tcMar>
            <w:vAlign w:val="top"/>
          </w:tcPr>
          <w:p w:rsidR="2673BA1B" w:rsidP="2673BA1B" w:rsidRDefault="2673BA1B" w14:paraId="55AC8CB6" w14:textId="19C46063">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13</w:t>
            </w:r>
          </w:p>
        </w:tc>
        <w:tc>
          <w:tcPr>
            <w:tcW w:w="3090" w:type="dxa"/>
            <w:tcMar>
              <w:left w:w="105" w:type="dxa"/>
              <w:right w:w="105" w:type="dxa"/>
            </w:tcMar>
            <w:vAlign w:val="top"/>
          </w:tcPr>
          <w:p w:rsidR="2673BA1B" w:rsidP="2673BA1B" w:rsidRDefault="2673BA1B" w14:paraId="68B6B75D" w14:textId="74C372B5">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Will a discounted contract fee be considered if total sales meet a certain threshold per year?</w:t>
            </w:r>
          </w:p>
        </w:tc>
        <w:tc>
          <w:tcPr>
            <w:tcW w:w="5272" w:type="dxa"/>
            <w:tcMar>
              <w:left w:w="105" w:type="dxa"/>
              <w:right w:w="105" w:type="dxa"/>
            </w:tcMar>
            <w:vAlign w:val="top"/>
          </w:tcPr>
          <w:p w:rsidR="2673BA1B" w:rsidP="2673BA1B" w:rsidRDefault="2673BA1B" w14:paraId="5C13C0FD" w14:textId="0E764E36">
            <w:pPr>
              <w:rPr>
                <w:rFonts w:ascii="Aptos" w:hAnsi="Aptos" w:eastAsia="游ゴシック"/>
                <w:b w:val="0"/>
                <w:bCs w:val="0"/>
                <w:i w:val="0"/>
                <w:iCs w:val="0"/>
                <w:caps w:val="0"/>
                <w:smallCaps w:val="0"/>
                <w:color w:val="000000" w:themeColor="text1" w:themeTint="FF" w:themeShade="FF"/>
                <w:sz w:val="24"/>
                <w:szCs w:val="24"/>
              </w:rPr>
            </w:pPr>
            <w:r w:rsidRPr="2673BA1B" w:rsidR="2673BA1B">
              <w:rPr>
                <w:rFonts w:ascii="Aptos" w:hAnsi="Aptos" w:eastAsia="游ゴシック"/>
                <w:b w:val="0"/>
                <w:bCs w:val="0"/>
                <w:i w:val="0"/>
                <w:iCs w:val="0"/>
                <w:caps w:val="0"/>
                <w:smallCaps w:val="0"/>
                <w:color w:val="000000" w:themeColor="text1" w:themeTint="FF" w:themeShade="FF"/>
                <w:sz w:val="24"/>
                <w:szCs w:val="24"/>
                <w:lang w:val="en-US"/>
              </w:rPr>
              <w:t>Please see the answer above for Question #12.</w:t>
            </w:r>
          </w:p>
        </w:tc>
      </w:tr>
    </w:tbl>
    <w:p w:rsidR="00D74AC3" w:rsidRDefault="00D74AC3" w14:paraId="74A5F795" w14:textId="6B9EB58B"/>
    <w:sectPr w:rsidR="00D74AC3">
      <w:pgSz w:w="12240" w:h="15840" w:orient="portrait"/>
      <w:pgMar w:top="1440" w:right="1440" w:bottom="1440" w:left="1440" w:header="720" w:footer="720" w:gutter="0"/>
      <w:cols w:space="720"/>
      <w:docGrid w:linePitch="360"/>
      <w:headerReference w:type="default" r:id="Rbf09940c409c4221"/>
      <w:footerReference w:type="default" r:id="R4f943fcb0de84aaa"/>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57441B2" w:rsidTr="357441B2" w14:paraId="1C11AA79">
      <w:trPr>
        <w:trHeight w:val="300"/>
      </w:trPr>
      <w:tc>
        <w:tcPr>
          <w:tcW w:w="3120" w:type="dxa"/>
          <w:tcMar/>
        </w:tcPr>
        <w:p w:rsidR="357441B2" w:rsidP="357441B2" w:rsidRDefault="357441B2" w14:paraId="234A33DC" w14:textId="16EBA454">
          <w:pPr>
            <w:pStyle w:val="Header"/>
            <w:bidi w:val="0"/>
            <w:ind w:left="-115"/>
            <w:jc w:val="left"/>
          </w:pPr>
        </w:p>
      </w:tc>
      <w:tc>
        <w:tcPr>
          <w:tcW w:w="3120" w:type="dxa"/>
          <w:tcMar/>
        </w:tcPr>
        <w:p w:rsidR="357441B2" w:rsidP="357441B2" w:rsidRDefault="357441B2" w14:paraId="21390EBA" w14:textId="79DE6667">
          <w:pPr>
            <w:pStyle w:val="Header"/>
            <w:bidi w:val="0"/>
            <w:jc w:val="center"/>
          </w:pPr>
        </w:p>
      </w:tc>
      <w:tc>
        <w:tcPr>
          <w:tcW w:w="3120" w:type="dxa"/>
          <w:tcMar/>
        </w:tcPr>
        <w:p w:rsidR="357441B2" w:rsidP="357441B2" w:rsidRDefault="357441B2" w14:paraId="7A84E6E8" w14:textId="1124323A">
          <w:pPr>
            <w:pStyle w:val="Header"/>
            <w:bidi w:val="0"/>
            <w:ind w:right="-115"/>
            <w:jc w:val="right"/>
          </w:pPr>
        </w:p>
      </w:tc>
    </w:tr>
  </w:tbl>
  <w:p w:rsidR="357441B2" w:rsidP="357441B2" w:rsidRDefault="357441B2" w14:paraId="750227DE" w14:textId="64075434">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57441B2" w:rsidTr="00A96552" w14:paraId="5BDCA20A">
      <w:trPr>
        <w:trHeight w:val="300"/>
      </w:trPr>
      <w:tc>
        <w:tcPr>
          <w:tcW w:w="3120" w:type="dxa"/>
          <w:tcMar/>
          <w:vAlign w:val="center"/>
        </w:tcPr>
        <w:p w:rsidR="357441B2" w:rsidP="00A96552" w:rsidRDefault="357441B2" w14:paraId="28DBFA20" w14:textId="0DB4E9A0">
          <w:pPr>
            <w:bidi w:val="0"/>
            <w:ind w:left="-115"/>
            <w:jc w:val="center"/>
          </w:pPr>
          <w:r w:rsidR="00A96552">
            <w:drawing>
              <wp:inline wp14:editId="20DF694F" wp14:anchorId="3E551D0B">
                <wp:extent cx="990600" cy="762000"/>
                <wp:effectExtent l="0" t="0" r="0" b="0"/>
                <wp:docPr id="668350351" name="drawing" descr="TOG_1_BW"/>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668350351"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847304008">
                          <a:extLst xmlns:a="http://schemas.openxmlformats.org/drawingml/2006/main">
                            <a:ext xmlns:a="http://schemas.openxmlformats.org/drawingml/2006/main" uri="{28A0092B-C50C-407E-A947-70E740481C1C}">
                              <a14:useLocalDpi xmlns:a14="http://schemas.microsoft.com/office/drawing/2010/main" val="0"/>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a:off xmlns:a="http://schemas.openxmlformats.org/drawingml/2006/main" x="0" y="0"/>
                          <a:ext xmlns:a="http://schemas.openxmlformats.org/drawingml/2006/main" cx="990600" cy="762000"/>
                        </a:xfrm>
                        <a:prstGeom xmlns:a="http://schemas.openxmlformats.org/drawingml/2006/main" prst="rect">
                          <a:avLst xmlns:a="http://schemas.openxmlformats.org/drawingml/2006/main"/>
                        </a:prstGeom>
                      </pic:spPr>
                    </pic:pic>
                  </a:graphicData>
                </a:graphic>
              </wp:inline>
            </w:drawing>
          </w:r>
        </w:p>
      </w:tc>
      <w:tc>
        <w:tcPr>
          <w:tcW w:w="3120" w:type="dxa"/>
          <w:tcMar/>
          <w:vAlign w:val="center"/>
        </w:tcPr>
        <w:p w:rsidR="357441B2" w:rsidP="357441B2" w:rsidRDefault="357441B2" w14:paraId="3C0C2DA0" w14:textId="34918782">
          <w:pPr>
            <w:bidi w:val="0"/>
            <w:jc w:val="center"/>
          </w:pPr>
        </w:p>
      </w:tc>
      <w:tc>
        <w:tcPr>
          <w:tcW w:w="3120" w:type="dxa"/>
          <w:tcMar/>
          <w:vAlign w:val="center"/>
        </w:tcPr>
        <w:p w:rsidR="357441B2" w:rsidP="00A96552" w:rsidRDefault="357441B2" w14:paraId="7084655B" w14:textId="777E5A8B">
          <w:pPr>
            <w:bidi w:val="0"/>
            <w:ind w:right="-115"/>
            <w:jc w:val="center"/>
          </w:pPr>
          <w:r w:rsidR="00A96552">
            <w:drawing>
              <wp:inline wp14:editId="340B100B" wp14:anchorId="0E8484E0">
                <wp:extent cx="1847850" cy="352425"/>
                <wp:effectExtent l="0" t="0" r="0" b="0"/>
                <wp:docPr id="246346010" name="drawing" descr="A blue text on a black background&#10;&#10;AI-generated content may be incorrect."/>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399327066" name=""/>
                        <pic:cNvPicPr/>
                      </pic:nvPicPr>
                      <pic:blipFill>
                        <a:blip xmlns:r="http://schemas.openxmlformats.org/officeDocument/2006/relationships" r:embed="rId1277035375">
                          <a:extLst>
                            <a:ext xmlns:a="http://schemas.openxmlformats.org/drawingml/2006/main" uri="{28A0092B-C50C-407E-A947-70E740481C1C}">
                              <a14:useLocalDpi xmlns:a14="http://schemas.microsoft.com/office/drawing/2010/main" val="0"/>
                            </a:ext>
                          </a:extLst>
                        </a:blip>
                        <a:stretch>
                          <a:fillRect/>
                        </a:stretch>
                      </pic:blipFill>
                      <pic:spPr>
                        <a:xfrm>
                          <a:off x="0" y="0"/>
                          <a:ext cx="1847850" cy="352425"/>
                        </a:xfrm>
                        <a:prstGeom prst="rect">
                          <a:avLst/>
                        </a:prstGeom>
                      </pic:spPr>
                    </pic:pic>
                  </a:graphicData>
                </a:graphic>
              </wp:inline>
            </w:drawing>
          </w:r>
        </w:p>
      </w:tc>
    </w:tr>
  </w:tbl>
  <w:p w:rsidR="357441B2" w:rsidP="357441B2" w:rsidRDefault="357441B2" w14:paraId="7CF87D1F" w14:textId="72EBA10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
    <w:nsid w:val="60a305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4B0F33BA"/>
    <w:multiLevelType w:val="hybridMultilevel"/>
    <w:tmpl w:val="68A871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2">
    <w:abstractNumId w:val="1"/>
  </w:num>
  <w:num w:numId="1" w16cid:durableId="1272736733">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5C2"/>
    <w:rsid w:val="0018522B"/>
    <w:rsid w:val="001F3313"/>
    <w:rsid w:val="0056198C"/>
    <w:rsid w:val="0067244A"/>
    <w:rsid w:val="00681FCA"/>
    <w:rsid w:val="006B4B95"/>
    <w:rsid w:val="006D265E"/>
    <w:rsid w:val="007C1902"/>
    <w:rsid w:val="007E345F"/>
    <w:rsid w:val="0095518E"/>
    <w:rsid w:val="00A335C2"/>
    <w:rsid w:val="00A61400"/>
    <w:rsid w:val="00A96552"/>
    <w:rsid w:val="00AF704E"/>
    <w:rsid w:val="00BE03F5"/>
    <w:rsid w:val="00C548D0"/>
    <w:rsid w:val="00CF52EF"/>
    <w:rsid w:val="00CF53C0"/>
    <w:rsid w:val="00D74AC3"/>
    <w:rsid w:val="00E64CA5"/>
    <w:rsid w:val="00E737E3"/>
    <w:rsid w:val="00ED7F4C"/>
    <w:rsid w:val="00F6605F"/>
    <w:rsid w:val="0117C074"/>
    <w:rsid w:val="020F5656"/>
    <w:rsid w:val="02C55CA2"/>
    <w:rsid w:val="039A33A9"/>
    <w:rsid w:val="057B85F3"/>
    <w:rsid w:val="060E3906"/>
    <w:rsid w:val="0750B2CD"/>
    <w:rsid w:val="082273EC"/>
    <w:rsid w:val="091BE9D7"/>
    <w:rsid w:val="0AB6B29D"/>
    <w:rsid w:val="0B935198"/>
    <w:rsid w:val="0BA905B3"/>
    <w:rsid w:val="0D0C5F1F"/>
    <w:rsid w:val="0D77221E"/>
    <w:rsid w:val="0E0E5FCC"/>
    <w:rsid w:val="0EBA9C16"/>
    <w:rsid w:val="100CB019"/>
    <w:rsid w:val="11ED0B48"/>
    <w:rsid w:val="11FD4196"/>
    <w:rsid w:val="123A1D7B"/>
    <w:rsid w:val="124AB9F9"/>
    <w:rsid w:val="1381B515"/>
    <w:rsid w:val="13C4FC9C"/>
    <w:rsid w:val="15A57A7A"/>
    <w:rsid w:val="16214293"/>
    <w:rsid w:val="1647E776"/>
    <w:rsid w:val="166326A4"/>
    <w:rsid w:val="167D7074"/>
    <w:rsid w:val="172CAC7D"/>
    <w:rsid w:val="174084E4"/>
    <w:rsid w:val="17F3B2E0"/>
    <w:rsid w:val="197B8BC3"/>
    <w:rsid w:val="1A05123B"/>
    <w:rsid w:val="1A972B5C"/>
    <w:rsid w:val="1AAADBD8"/>
    <w:rsid w:val="1C6AF9BB"/>
    <w:rsid w:val="1CB8E5AE"/>
    <w:rsid w:val="1EB97942"/>
    <w:rsid w:val="1EEA3003"/>
    <w:rsid w:val="1F7B4E44"/>
    <w:rsid w:val="200DCC5B"/>
    <w:rsid w:val="20304B03"/>
    <w:rsid w:val="20C52772"/>
    <w:rsid w:val="2137CF8C"/>
    <w:rsid w:val="22F88E3F"/>
    <w:rsid w:val="2392B795"/>
    <w:rsid w:val="2412CEFE"/>
    <w:rsid w:val="2431F63A"/>
    <w:rsid w:val="24A007B2"/>
    <w:rsid w:val="24D58093"/>
    <w:rsid w:val="25D98A29"/>
    <w:rsid w:val="2632363F"/>
    <w:rsid w:val="2673BA1B"/>
    <w:rsid w:val="26F03F0D"/>
    <w:rsid w:val="292F5C6A"/>
    <w:rsid w:val="2A074460"/>
    <w:rsid w:val="2A354335"/>
    <w:rsid w:val="2BA41AA9"/>
    <w:rsid w:val="2BC54C41"/>
    <w:rsid w:val="2C80BB30"/>
    <w:rsid w:val="2DC14475"/>
    <w:rsid w:val="2ED81AB4"/>
    <w:rsid w:val="2FE8DF62"/>
    <w:rsid w:val="2FEF8ECE"/>
    <w:rsid w:val="300CFEC3"/>
    <w:rsid w:val="3010AC26"/>
    <w:rsid w:val="30A0C112"/>
    <w:rsid w:val="30C4FE9F"/>
    <w:rsid w:val="319AAE58"/>
    <w:rsid w:val="32CB13F1"/>
    <w:rsid w:val="33DF7291"/>
    <w:rsid w:val="34D4A9A9"/>
    <w:rsid w:val="35294FD3"/>
    <w:rsid w:val="357441B2"/>
    <w:rsid w:val="35B7BE26"/>
    <w:rsid w:val="36738749"/>
    <w:rsid w:val="3687B705"/>
    <w:rsid w:val="36A85A93"/>
    <w:rsid w:val="374522CC"/>
    <w:rsid w:val="3766187A"/>
    <w:rsid w:val="384E2F59"/>
    <w:rsid w:val="3893AD7D"/>
    <w:rsid w:val="3A734A5A"/>
    <w:rsid w:val="3AA7A086"/>
    <w:rsid w:val="3BDC0699"/>
    <w:rsid w:val="3EE467E5"/>
    <w:rsid w:val="3F48DA81"/>
    <w:rsid w:val="3FDF4A72"/>
    <w:rsid w:val="40C6AC0F"/>
    <w:rsid w:val="4173AEA2"/>
    <w:rsid w:val="4198B87F"/>
    <w:rsid w:val="419D7D34"/>
    <w:rsid w:val="41F04400"/>
    <w:rsid w:val="4283A3EC"/>
    <w:rsid w:val="42BC7496"/>
    <w:rsid w:val="4407FAAF"/>
    <w:rsid w:val="443FE41D"/>
    <w:rsid w:val="44945B91"/>
    <w:rsid w:val="46725FBA"/>
    <w:rsid w:val="470CC4B5"/>
    <w:rsid w:val="47A46C85"/>
    <w:rsid w:val="49AEBEE9"/>
    <w:rsid w:val="4A0A2F5E"/>
    <w:rsid w:val="4A1F93B7"/>
    <w:rsid w:val="4A5BA3CD"/>
    <w:rsid w:val="4AE09522"/>
    <w:rsid w:val="4C2CD8A2"/>
    <w:rsid w:val="4C9BF4F2"/>
    <w:rsid w:val="4E001BDF"/>
    <w:rsid w:val="4F29270D"/>
    <w:rsid w:val="511AF986"/>
    <w:rsid w:val="5273E14D"/>
    <w:rsid w:val="53662A3D"/>
    <w:rsid w:val="5440E776"/>
    <w:rsid w:val="54E4A91A"/>
    <w:rsid w:val="56AFFB7A"/>
    <w:rsid w:val="576F5E93"/>
    <w:rsid w:val="582D1DEF"/>
    <w:rsid w:val="58333340"/>
    <w:rsid w:val="590882D7"/>
    <w:rsid w:val="5953427E"/>
    <w:rsid w:val="5A1CA3FA"/>
    <w:rsid w:val="5BE26CE8"/>
    <w:rsid w:val="5C300FBC"/>
    <w:rsid w:val="5C666181"/>
    <w:rsid w:val="5D107B6F"/>
    <w:rsid w:val="5DF0B20B"/>
    <w:rsid w:val="5E57045A"/>
    <w:rsid w:val="6180DB56"/>
    <w:rsid w:val="61BF9F48"/>
    <w:rsid w:val="61F938AC"/>
    <w:rsid w:val="6298BA50"/>
    <w:rsid w:val="62AE81F7"/>
    <w:rsid w:val="62F201B4"/>
    <w:rsid w:val="6429A2EF"/>
    <w:rsid w:val="64410B0A"/>
    <w:rsid w:val="64522E9A"/>
    <w:rsid w:val="67A10A71"/>
    <w:rsid w:val="67AAFCA8"/>
    <w:rsid w:val="67D631E3"/>
    <w:rsid w:val="68A0ED40"/>
    <w:rsid w:val="68F5F0F6"/>
    <w:rsid w:val="6A3DCD38"/>
    <w:rsid w:val="6A4C7338"/>
    <w:rsid w:val="6CEA3781"/>
    <w:rsid w:val="6E84C40F"/>
    <w:rsid w:val="6F219FD3"/>
    <w:rsid w:val="70280ED1"/>
    <w:rsid w:val="70A06A24"/>
    <w:rsid w:val="717D9379"/>
    <w:rsid w:val="7187ED37"/>
    <w:rsid w:val="718C4ABF"/>
    <w:rsid w:val="7273668F"/>
    <w:rsid w:val="72A125A6"/>
    <w:rsid w:val="72E4EC5C"/>
    <w:rsid w:val="731109A6"/>
    <w:rsid w:val="733B3239"/>
    <w:rsid w:val="73709561"/>
    <w:rsid w:val="7488ABDE"/>
    <w:rsid w:val="74AA859B"/>
    <w:rsid w:val="756D060D"/>
    <w:rsid w:val="75EA22EC"/>
    <w:rsid w:val="7680FE68"/>
    <w:rsid w:val="7716C317"/>
    <w:rsid w:val="7773C384"/>
    <w:rsid w:val="77CE9ECA"/>
    <w:rsid w:val="7816366B"/>
    <w:rsid w:val="78C82F61"/>
    <w:rsid w:val="78FE7353"/>
    <w:rsid w:val="792371D1"/>
    <w:rsid w:val="79A5B94F"/>
    <w:rsid w:val="7D0F84E3"/>
    <w:rsid w:val="7E6AAF49"/>
    <w:rsid w:val="7EAAB39A"/>
    <w:rsid w:val="7EE7A970"/>
    <w:rsid w:val="7F141F43"/>
    <w:rsid w:val="7FD47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AAFF1"/>
  <w15:chartTrackingRefBased/>
  <w15:docId w15:val="{9179D84B-D0C5-4DA6-B81C-4017947C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35C2"/>
  </w:style>
  <w:style w:type="paragraph" w:styleId="Heading1">
    <w:name w:val="heading 1"/>
    <w:basedOn w:val="Normal"/>
    <w:next w:val="Normal"/>
    <w:link w:val="Heading1Char"/>
    <w:uiPriority w:val="9"/>
    <w:qFormat/>
    <w:rsid w:val="00A335C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35C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35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35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35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35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35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35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35C2"/>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335C2"/>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A335C2"/>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A335C2"/>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A335C2"/>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335C2"/>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335C2"/>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335C2"/>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335C2"/>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335C2"/>
    <w:rPr>
      <w:rFonts w:eastAsiaTheme="majorEastAsia" w:cstheme="majorBidi"/>
      <w:color w:val="272727" w:themeColor="text1" w:themeTint="D8"/>
    </w:rPr>
  </w:style>
  <w:style w:type="paragraph" w:styleId="Title">
    <w:name w:val="Title"/>
    <w:basedOn w:val="Normal"/>
    <w:next w:val="Normal"/>
    <w:link w:val="TitleChar"/>
    <w:uiPriority w:val="10"/>
    <w:qFormat/>
    <w:rsid w:val="00A335C2"/>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335C2"/>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335C2"/>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335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35C2"/>
    <w:pPr>
      <w:spacing w:before="160"/>
      <w:jc w:val="center"/>
    </w:pPr>
    <w:rPr>
      <w:i/>
      <w:iCs/>
      <w:color w:val="404040" w:themeColor="text1" w:themeTint="BF"/>
    </w:rPr>
  </w:style>
  <w:style w:type="character" w:styleId="QuoteChar" w:customStyle="1">
    <w:name w:val="Quote Char"/>
    <w:basedOn w:val="DefaultParagraphFont"/>
    <w:link w:val="Quote"/>
    <w:uiPriority w:val="29"/>
    <w:rsid w:val="00A335C2"/>
    <w:rPr>
      <w:i/>
      <w:iCs/>
      <w:color w:val="404040" w:themeColor="text1" w:themeTint="BF"/>
    </w:rPr>
  </w:style>
  <w:style w:type="paragraph" w:styleId="ListParagraph">
    <w:name w:val="List Paragraph"/>
    <w:basedOn w:val="Normal"/>
    <w:uiPriority w:val="34"/>
    <w:qFormat/>
    <w:rsid w:val="00A335C2"/>
    <w:pPr>
      <w:ind w:left="720"/>
      <w:contextualSpacing/>
    </w:pPr>
  </w:style>
  <w:style w:type="character" w:styleId="IntenseEmphasis">
    <w:name w:val="Intense Emphasis"/>
    <w:basedOn w:val="DefaultParagraphFont"/>
    <w:uiPriority w:val="21"/>
    <w:qFormat/>
    <w:rsid w:val="00A335C2"/>
    <w:rPr>
      <w:i/>
      <w:iCs/>
      <w:color w:val="0F4761" w:themeColor="accent1" w:themeShade="BF"/>
    </w:rPr>
  </w:style>
  <w:style w:type="paragraph" w:styleId="IntenseQuote">
    <w:name w:val="Intense Quote"/>
    <w:basedOn w:val="Normal"/>
    <w:next w:val="Normal"/>
    <w:link w:val="IntenseQuoteChar"/>
    <w:uiPriority w:val="30"/>
    <w:qFormat/>
    <w:rsid w:val="00A335C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335C2"/>
    <w:rPr>
      <w:i/>
      <w:iCs/>
      <w:color w:val="0F4761" w:themeColor="accent1" w:themeShade="BF"/>
    </w:rPr>
  </w:style>
  <w:style w:type="character" w:styleId="IntenseReference">
    <w:name w:val="Intense Reference"/>
    <w:basedOn w:val="DefaultParagraphFont"/>
    <w:uiPriority w:val="32"/>
    <w:qFormat/>
    <w:rsid w:val="00A335C2"/>
    <w:rPr>
      <w:b/>
      <w:bCs/>
      <w:smallCaps/>
      <w:color w:val="0F4761" w:themeColor="accent1" w:themeShade="BF"/>
      <w:spacing w:val="5"/>
    </w:rPr>
  </w:style>
  <w:style w:type="table" w:styleId="TableGrid">
    <w:name w:val="Table Grid"/>
    <w:basedOn w:val="TableNormal"/>
    <w:uiPriority w:val="39"/>
    <w:rsid w:val="00A335C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uiPriority w:val="99"/>
    <w:name w:val="header"/>
    <w:basedOn w:val="Normal"/>
    <w:unhideWhenUsed/>
    <w:rsid w:val="357441B2"/>
    <w:pPr>
      <w:tabs>
        <w:tab w:val="center" w:leader="none" w:pos="4680"/>
        <w:tab w:val="right" w:leader="none" w:pos="9360"/>
      </w:tabs>
      <w:spacing w:after="0" w:line="240" w:lineRule="auto"/>
    </w:pPr>
  </w:style>
  <w:style w:type="paragraph" w:styleId="Footer">
    <w:uiPriority w:val="99"/>
    <w:name w:val="footer"/>
    <w:basedOn w:val="Normal"/>
    <w:unhideWhenUsed/>
    <w:rsid w:val="357441B2"/>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 Type="http://schemas.microsoft.com/office/2011/relationships/people" Target="people.xml" Id="Ra6cd782f4b1342e3" /><Relationship Type="http://schemas.microsoft.com/office/2011/relationships/commentsExtended" Target="commentsExtended.xml" Id="R3a9e205b512243c1" /><Relationship Type="http://schemas.microsoft.com/office/2016/09/relationships/commentsIds" Target="commentsIds.xml" Id="R641822c954f94b1a" /><Relationship Type="http://schemas.openxmlformats.org/officeDocument/2006/relationships/header" Target="header.xml" Id="Rbf09940c409c4221" /><Relationship Type="http://schemas.openxmlformats.org/officeDocument/2006/relationships/footer" Target="footer.xml" Id="R4f943fcb0de84aaa" /></Relationships>
</file>

<file path=word/_rels/header.xml.rels>&#65279;<?xml version="1.0" encoding="utf-8"?><Relationships xmlns="http://schemas.openxmlformats.org/package/2006/relationships"><Relationship Type="http://schemas.openxmlformats.org/officeDocument/2006/relationships/image" Target="/media/image.png" Id="rId847304008" /><Relationship Type="http://schemas.openxmlformats.org/officeDocument/2006/relationships/image" Target="/media/image2.png" Id="rId1277035375"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0C673B67675245AB5FD0CA9FB031B1" ma:contentTypeVersion="11" ma:contentTypeDescription="Create a new document." ma:contentTypeScope="" ma:versionID="ba0a5a76e0f8b3724cbe9164da1d1f5f">
  <xsd:schema xmlns:xsd="http://www.w3.org/2001/XMLSchema" xmlns:xs="http://www.w3.org/2001/XMLSchema" xmlns:p="http://schemas.microsoft.com/office/2006/metadata/properties" xmlns:ns2="aaa8a0b8-73b1-4d69-93f8-6194eb69333b" xmlns:ns3="d07a6cc3-dc45-461a-af3a-22ee31b2ae88" targetNamespace="http://schemas.microsoft.com/office/2006/metadata/properties" ma:root="true" ma:fieldsID="b6e6702546db6c13aa6ad70bf58a287a" ns2:_="" ns3:_="">
    <xsd:import namespace="aaa8a0b8-73b1-4d69-93f8-6194eb69333b"/>
    <xsd:import namespace="d07a6cc3-dc45-461a-af3a-22ee31b2a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8a0b8-73b1-4d69-93f8-6194eb6933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6072d03-95c6-445c-86f7-2cdb70ef1f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07a6cc3-dc45-461a-af3a-22ee31b2ae8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592c1b-751a-4430-875a-57797f3c4ca6}" ma:internalName="TaxCatchAll" ma:showField="CatchAllData" ma:web="d07a6cc3-dc45-461a-af3a-22ee31b2ae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a8a0b8-73b1-4d69-93f8-6194eb69333b">
      <Terms xmlns="http://schemas.microsoft.com/office/infopath/2007/PartnerControls"/>
    </lcf76f155ced4ddcb4097134ff3c332f>
    <TaxCatchAll xmlns="d07a6cc3-dc45-461a-af3a-22ee31b2ae88" xsi:nil="true"/>
  </documentManagement>
</p:properties>
</file>

<file path=customXml/itemProps1.xml><?xml version="1.0" encoding="utf-8"?>
<ds:datastoreItem xmlns:ds="http://schemas.openxmlformats.org/officeDocument/2006/customXml" ds:itemID="{CAB48D14-CBD4-4919-96E5-7318D76AFDAB}"/>
</file>

<file path=customXml/itemProps2.xml><?xml version="1.0" encoding="utf-8"?>
<ds:datastoreItem xmlns:ds="http://schemas.openxmlformats.org/officeDocument/2006/customXml" ds:itemID="{AFF2D660-1271-4427-B018-76A49ED3DFB3}"/>
</file>

<file path=customXml/itemProps3.xml><?xml version="1.0" encoding="utf-8"?>
<ds:datastoreItem xmlns:ds="http://schemas.openxmlformats.org/officeDocument/2006/customXml" ds:itemID="{CA87E1F0-DABC-496C-987A-0A5C6959257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Margaret Armenia</dc:creator>
  <keywords/>
  <dc:description/>
  <lastModifiedBy>Margaret Armenia</lastModifiedBy>
  <revision>24</revision>
  <dcterms:created xsi:type="dcterms:W3CDTF">2025-08-04T13:34:00.0000000Z</dcterms:created>
  <dcterms:modified xsi:type="dcterms:W3CDTF">2025-08-14T16:10:41.8164311Z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0x010100020C673B67675245AB5FD0CA9FB031B1</vt:lpwstr>
  </property>
  <property fmtid="{D5CDD505-2E9C-101B-9397-08002B2CF9AE}" pid="3" name="MediaServiceImageTags">
    <vt:lpwstr/>
  </property>
</Properties>
</file>